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C18" w:rsidRPr="00C73C18" w:rsidRDefault="003D4268" w:rsidP="00C73C18">
      <w:pPr>
        <w:rPr>
          <w:rFonts w:ascii="Arial" w:eastAsia="宋体" w:hAnsi="Arial" w:cs="Arial"/>
          <w:sz w:val="16"/>
          <w:szCs w:val="16"/>
          <w:lang w:eastAsia="zh-CN"/>
        </w:rPr>
      </w:pPr>
      <w:r w:rsidRPr="00135746">
        <w:rPr>
          <w:rFonts w:ascii="Arial" w:eastAsia="MS Mincho" w:hAnsi="Arial" w:cs="Arial"/>
          <w:b/>
          <w:bCs/>
          <w:sz w:val="22"/>
        </w:rPr>
        <w:t>3GPP TSG RAN WG1 Meeting NR#3</w:t>
      </w:r>
      <w:r w:rsidRPr="001509CE">
        <w:rPr>
          <w:rFonts w:ascii="Arial" w:eastAsia="MS Mincho" w:hAnsi="Arial" w:cs="Arial"/>
          <w:b/>
          <w:bCs/>
          <w:sz w:val="22"/>
        </w:rPr>
        <w:tab/>
      </w:r>
      <w:r w:rsidRPr="001509CE">
        <w:rPr>
          <w:rFonts w:ascii="Arial" w:eastAsia="MS Mincho" w:hAnsi="Arial" w:cs="Arial"/>
          <w:b/>
          <w:bCs/>
          <w:sz w:val="22"/>
        </w:rPr>
        <w:tab/>
      </w:r>
      <w:r w:rsidR="00C73C18" w:rsidRPr="008B3A87">
        <w:rPr>
          <w:rFonts w:ascii="Arial" w:eastAsia="宋体" w:hAnsi="Arial" w:cs="Arial" w:hint="eastAsia"/>
          <w:b/>
          <w:bCs/>
          <w:sz w:val="22"/>
          <w:lang w:eastAsia="zh-CN"/>
        </w:rPr>
        <w:tab/>
      </w:r>
      <w:r w:rsidR="00C73C18" w:rsidRPr="008B3A87">
        <w:rPr>
          <w:rFonts w:ascii="Arial" w:eastAsia="宋体" w:hAnsi="Arial" w:cs="Arial" w:hint="eastAsia"/>
          <w:b/>
          <w:bCs/>
          <w:sz w:val="22"/>
          <w:lang w:eastAsia="zh-CN"/>
        </w:rPr>
        <w:tab/>
      </w:r>
      <w:r w:rsidR="00C73C18" w:rsidRPr="008B3A87">
        <w:rPr>
          <w:rFonts w:ascii="Arial" w:eastAsia="宋体" w:hAnsi="Arial" w:cs="Arial" w:hint="eastAsia"/>
          <w:b/>
          <w:bCs/>
          <w:sz w:val="22"/>
          <w:lang w:eastAsia="zh-CN"/>
        </w:rPr>
        <w:tab/>
      </w:r>
      <w:r w:rsidR="000B36A4" w:rsidRPr="000B36A4">
        <w:rPr>
          <w:rFonts w:ascii="Arial" w:eastAsia="MS Mincho" w:hAnsi="Arial" w:cs="Arial"/>
          <w:b/>
          <w:bCs/>
          <w:sz w:val="22"/>
        </w:rPr>
        <w:t>R1-1715643</w:t>
      </w:r>
    </w:p>
    <w:p w:rsidR="003D4268" w:rsidRPr="001509CE" w:rsidRDefault="003D4268" w:rsidP="003D4268">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bookmarkStart w:id="0" w:name="_GoBack"/>
      <w:bookmarkEnd w:id="0"/>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0B36A4" w:rsidRPr="000B36A4">
        <w:rPr>
          <w:rFonts w:cs="Arial"/>
        </w:rPr>
        <w:t>UE processing time and HARQ timing</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0B36A4" w:rsidRPr="000B36A4">
        <w:rPr>
          <w:rFonts w:eastAsia="宋体" w:cs="Arial"/>
          <w:lang w:eastAsia="zh-CN"/>
        </w:rPr>
        <w:t>6.3.3.2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B36A4" w:rsidRDefault="00AC7B25" w:rsidP="001E3A12">
      <w:pPr>
        <w:spacing w:afterLines="50" w:after="120"/>
        <w:jc w:val="both"/>
        <w:rPr>
          <w:rFonts w:eastAsia="宋体"/>
          <w:lang w:val="en-GB" w:eastAsia="zh-CN"/>
        </w:rPr>
      </w:pPr>
      <w:r>
        <w:rPr>
          <w:rFonts w:eastAsia="宋体"/>
          <w:lang w:val="en-GB" w:eastAsia="zh-CN"/>
        </w:rPr>
        <w:t>In</w:t>
      </w:r>
      <w:r w:rsidR="000B36A4">
        <w:rPr>
          <w:rFonts w:eastAsia="宋体" w:hint="eastAsia"/>
          <w:lang w:val="en-GB" w:eastAsia="zh-CN"/>
        </w:rPr>
        <w:t xml:space="preserve"> RAN1#90 </w:t>
      </w:r>
      <w:r>
        <w:rPr>
          <w:rFonts w:eastAsia="宋体" w:hint="eastAsia"/>
          <w:lang w:val="en-GB" w:eastAsia="zh-CN"/>
        </w:rPr>
        <w:t xml:space="preserve">meeting, </w:t>
      </w:r>
      <w:r w:rsidR="000B36A4">
        <w:rPr>
          <w:rFonts w:eastAsia="宋体"/>
          <w:lang w:val="en-GB" w:eastAsia="zh-CN"/>
        </w:rPr>
        <w:t>the following agreements were made</w:t>
      </w:r>
      <w:r w:rsidR="00574750">
        <w:rPr>
          <w:rFonts w:eastAsia="宋体"/>
          <w:lang w:val="en-GB" w:eastAsia="zh-CN"/>
        </w:rPr>
        <w:t xml:space="preserve"> [1]</w:t>
      </w:r>
      <w:r w:rsidR="000B36A4">
        <w:rPr>
          <w:rFonts w:eastAsia="宋体"/>
          <w:lang w:val="en-GB" w:eastAsia="zh-CN"/>
        </w:rPr>
        <w:t>,</w:t>
      </w:r>
    </w:p>
    <w:p w:rsidR="002B4ABF" w:rsidRDefault="000B36A4" w:rsidP="001E3A12">
      <w:pPr>
        <w:spacing w:afterLines="50" w:after="120"/>
        <w:jc w:val="both"/>
        <w:rPr>
          <w:rFonts w:eastAsia="宋体"/>
          <w:lang w:val="en-GB" w:eastAsia="zh-CN"/>
        </w:rPr>
      </w:pPr>
      <w:r>
        <w:rPr>
          <w:rFonts w:eastAsia="宋体"/>
          <w:lang w:val="en-GB" w:eastAsia="zh-CN"/>
        </w:rPr>
        <w:t xml:space="preserve">Regarding the </w:t>
      </w:r>
      <w:r w:rsidRPr="00A43BB9">
        <w:rPr>
          <w:rFonts w:eastAsia="宋体"/>
          <w:lang w:val="en-GB" w:eastAsia="zh-CN"/>
        </w:rPr>
        <w:t>characteriz</w:t>
      </w:r>
      <w:r>
        <w:rPr>
          <w:rFonts w:eastAsia="宋体"/>
          <w:lang w:val="en-GB" w:eastAsia="zh-CN"/>
        </w:rPr>
        <w:t>ation of the UE processing time,</w:t>
      </w:r>
    </w:p>
    <w:p w:rsidR="000B36A4" w:rsidRPr="009065A0" w:rsidRDefault="000B36A4" w:rsidP="000B36A4">
      <w:pPr>
        <w:tabs>
          <w:tab w:val="left" w:pos="1440"/>
        </w:tabs>
        <w:ind w:left="1440" w:hanging="1440"/>
        <w:rPr>
          <w:rFonts w:ascii="Times" w:eastAsia="MS Mincho" w:hAnsi="Times"/>
          <w:b/>
          <w:iCs/>
          <w:u w:val="single"/>
          <w:lang w:val="en-GB" w:eastAsia="ja-JP"/>
        </w:rPr>
      </w:pPr>
      <w:r w:rsidRPr="009065A0">
        <w:rPr>
          <w:rFonts w:ascii="Times" w:eastAsia="MS Mincho" w:hAnsi="Times" w:hint="eastAsia"/>
          <w:b/>
          <w:iCs/>
          <w:highlight w:val="green"/>
          <w:u w:val="single"/>
          <w:lang w:val="en-GB" w:eastAsia="ja-JP"/>
        </w:rPr>
        <w:t>Agreements:</w:t>
      </w:r>
    </w:p>
    <w:p w:rsidR="000B36A4" w:rsidRPr="009065A0" w:rsidRDefault="000B36A4" w:rsidP="000B36A4">
      <w:pPr>
        <w:tabs>
          <w:tab w:val="left" w:pos="1440"/>
        </w:tabs>
        <w:ind w:left="1440" w:hanging="1440"/>
        <w:rPr>
          <w:rFonts w:ascii="Times" w:eastAsia="MS Mincho" w:hAnsi="Times"/>
          <w:lang w:val="en-GB" w:eastAsia="ja-JP"/>
        </w:rPr>
      </w:pPr>
      <w:r w:rsidRPr="009065A0">
        <w:rPr>
          <w:rFonts w:ascii="Times" w:eastAsia="Batang" w:hAnsi="Times"/>
          <w:lang w:val="en-GB"/>
        </w:rPr>
        <w:t xml:space="preserve">The candidate factors for (N1,N2) processing time characterization (Step 3) are given in </w:t>
      </w:r>
      <w:r w:rsidRPr="009065A0">
        <w:rPr>
          <w:rFonts w:ascii="Times" w:eastAsia="MS Mincho" w:hAnsi="Times" w:hint="eastAsia"/>
          <w:lang w:val="en-GB" w:eastAsia="ja-JP"/>
        </w:rPr>
        <w:t>following table</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 xml:space="preserve">Nominal assumptions are provided for this characterization in </w:t>
      </w:r>
      <w:r w:rsidRPr="009065A0">
        <w:rPr>
          <w:rFonts w:eastAsia="MS Mincho" w:hint="eastAsia"/>
          <w:szCs w:val="20"/>
          <w:lang w:val="en-GB" w:eastAsia="ja-JP"/>
        </w:rPr>
        <w:t>the table,</w:t>
      </w:r>
      <w:r w:rsidRPr="009065A0">
        <w:rPr>
          <w:rFonts w:eastAsia="Batang"/>
          <w:szCs w:val="20"/>
          <w:lang w:val="en-GB" w:eastAsia="x-none"/>
        </w:rPr>
        <w:t xml:space="preserve"> for which the (N1,N2) values are evaluated</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Additional candidate factors indicated in [] can be optionally considered for (N1,N2).</w:t>
      </w:r>
    </w:p>
    <w:p w:rsidR="000B36A4" w:rsidRPr="009065A0" w:rsidRDefault="000B36A4" w:rsidP="000B36A4">
      <w:pPr>
        <w:numPr>
          <w:ilvl w:val="0"/>
          <w:numId w:val="31"/>
        </w:numPr>
        <w:tabs>
          <w:tab w:val="left" w:pos="1440"/>
        </w:tabs>
        <w:rPr>
          <w:rFonts w:eastAsia="Batang"/>
          <w:szCs w:val="20"/>
          <w:lang w:val="en-GB" w:eastAsia="x-none"/>
        </w:rPr>
      </w:pPr>
      <w:r w:rsidRPr="009065A0">
        <w:rPr>
          <w:rFonts w:eastAsia="Batang"/>
          <w:szCs w:val="20"/>
          <w:lang w:val="en-GB" w:eastAsia="x-none"/>
        </w:rPr>
        <w:t>It is understood that if nominal assumptions change, the (N1,N2) characterization can be modified accordingly.</w:t>
      </w:r>
    </w:p>
    <w:p w:rsidR="000B36A4" w:rsidRDefault="000B36A4" w:rsidP="000B36A4">
      <w:pPr>
        <w:pStyle w:val="a0"/>
        <w:rPr>
          <w:rFonts w:eastAsia="宋体"/>
          <w:lang w:eastAsia="zh-CN"/>
        </w:rPr>
      </w:pPr>
      <w:r>
        <w:rPr>
          <w:rFonts w:eastAsia="宋体"/>
          <w:lang w:eastAsia="zh-CN"/>
        </w:rPr>
        <w:t>The table was in Annex A.</w:t>
      </w:r>
    </w:p>
    <w:p w:rsidR="000B36A4" w:rsidRPr="009065A0" w:rsidRDefault="000B36A4" w:rsidP="000B36A4">
      <w:pPr>
        <w:pStyle w:val="a0"/>
        <w:rPr>
          <w:rFonts w:eastAsia="宋体"/>
          <w:lang w:eastAsia="zh-CN"/>
        </w:rPr>
      </w:pPr>
      <w:r>
        <w:rPr>
          <w:rFonts w:eastAsia="宋体" w:hint="eastAsia"/>
          <w:lang w:eastAsia="zh-CN"/>
        </w:rPr>
        <w:t>Regarding the soft buffer management,</w:t>
      </w:r>
    </w:p>
    <w:p w:rsidR="000B36A4" w:rsidRPr="00D612C5" w:rsidRDefault="000B36A4" w:rsidP="000B36A4">
      <w:pPr>
        <w:rPr>
          <w:rFonts w:eastAsia="游明朝"/>
          <w:b/>
          <w:iCs/>
          <w:szCs w:val="20"/>
          <w:u w:val="single"/>
          <w:lang w:eastAsia="ja-JP"/>
        </w:rPr>
      </w:pPr>
      <w:r w:rsidRPr="00190FD7">
        <w:rPr>
          <w:rFonts w:eastAsia="游明朝" w:hint="eastAsia"/>
          <w:b/>
          <w:iCs/>
          <w:szCs w:val="20"/>
          <w:highlight w:val="green"/>
          <w:u w:val="single"/>
          <w:lang w:eastAsia="ja-JP"/>
        </w:rPr>
        <w:t>Agreements:</w:t>
      </w:r>
    </w:p>
    <w:p w:rsidR="000B36A4" w:rsidRPr="00D612C5" w:rsidRDefault="000B36A4" w:rsidP="000B36A4">
      <w:pPr>
        <w:numPr>
          <w:ilvl w:val="0"/>
          <w:numId w:val="19"/>
        </w:numPr>
        <w:tabs>
          <w:tab w:val="left" w:pos="0"/>
        </w:tabs>
        <w:rPr>
          <w:rFonts w:eastAsia="MS Mincho"/>
          <w:iCs/>
          <w:szCs w:val="20"/>
          <w:lang w:eastAsia="ja-JP"/>
        </w:rPr>
      </w:pPr>
      <w:r w:rsidRPr="00D612C5">
        <w:rPr>
          <w:rFonts w:eastAsia="MS Mincho"/>
          <w:iCs/>
          <w:szCs w:val="20"/>
          <w:lang w:eastAsia="ja-JP"/>
        </w:rPr>
        <w:t>NR specification should decouple the transmit (or RV) buffer from soft buffer size of the UE receiver.</w:t>
      </w:r>
    </w:p>
    <w:p w:rsidR="000B36A4" w:rsidRDefault="000B36A4" w:rsidP="000B36A4">
      <w:pPr>
        <w:numPr>
          <w:ilvl w:val="1"/>
          <w:numId w:val="19"/>
        </w:numPr>
        <w:tabs>
          <w:tab w:val="left" w:pos="0"/>
        </w:tabs>
        <w:rPr>
          <w:rFonts w:eastAsia="MS Mincho"/>
          <w:iCs/>
          <w:szCs w:val="20"/>
          <w:lang w:eastAsia="ja-JP"/>
        </w:rPr>
      </w:pPr>
      <w:r w:rsidRPr="00D612C5">
        <w:rPr>
          <w:rFonts w:eastAsia="MS Mincho" w:hint="eastAsia"/>
          <w:iCs/>
          <w:szCs w:val="20"/>
          <w:lang w:eastAsia="ja-JP"/>
        </w:rPr>
        <w:t>Note: transmit (</w:t>
      </w:r>
      <w:r w:rsidRPr="00D612C5">
        <w:rPr>
          <w:rFonts w:eastAsia="MS Mincho"/>
          <w:iCs/>
          <w:szCs w:val="20"/>
          <w:lang w:eastAsia="ja-JP"/>
        </w:rPr>
        <w:t>or RV</w:t>
      </w:r>
      <w:r w:rsidRPr="00D612C5">
        <w:rPr>
          <w:rFonts w:eastAsia="MS Mincho" w:hint="eastAsia"/>
          <w:iCs/>
          <w:szCs w:val="20"/>
          <w:lang w:eastAsia="ja-JP"/>
        </w:rPr>
        <w:t>)</w:t>
      </w:r>
      <w:r w:rsidRPr="00D612C5">
        <w:rPr>
          <w:rFonts w:eastAsia="MS Mincho"/>
          <w:iCs/>
          <w:szCs w:val="20"/>
          <w:lang w:eastAsia="ja-JP"/>
        </w:rPr>
        <w:t xml:space="preserve"> buffer refers to the PDSCH rate-matching buffer</w:t>
      </w:r>
    </w:p>
    <w:p w:rsidR="004E71B8" w:rsidRDefault="004E71B8" w:rsidP="004E71B8">
      <w:pPr>
        <w:tabs>
          <w:tab w:val="left" w:pos="0"/>
        </w:tabs>
        <w:rPr>
          <w:rFonts w:eastAsia="MS Mincho"/>
          <w:iCs/>
          <w:szCs w:val="20"/>
          <w:lang w:eastAsia="ja-JP"/>
        </w:rPr>
      </w:pPr>
    </w:p>
    <w:p w:rsidR="004E71B8" w:rsidRDefault="004E71B8" w:rsidP="004E71B8">
      <w:pPr>
        <w:tabs>
          <w:tab w:val="left" w:pos="0"/>
        </w:tabs>
        <w:rPr>
          <w:rFonts w:eastAsia="MS Mincho"/>
          <w:iCs/>
          <w:szCs w:val="20"/>
          <w:lang w:eastAsia="ja-JP"/>
        </w:rPr>
      </w:pPr>
      <w:r>
        <w:rPr>
          <w:rFonts w:eastAsia="MS Mincho"/>
          <w:iCs/>
          <w:szCs w:val="20"/>
          <w:lang w:eastAsia="ja-JP"/>
        </w:rPr>
        <w:t>Regarding the HARQ/scheduling timing, the followings are agreed,</w:t>
      </w:r>
    </w:p>
    <w:p w:rsidR="004E71B8" w:rsidRPr="00AD1690" w:rsidRDefault="004E71B8" w:rsidP="004E71B8">
      <w:pPr>
        <w:rPr>
          <w:rFonts w:eastAsia="MS Mincho"/>
          <w:b/>
          <w:u w:val="single"/>
          <w:lang w:eastAsia="ja-JP"/>
        </w:rPr>
      </w:pPr>
      <w:r w:rsidRPr="00CE6B7C">
        <w:rPr>
          <w:rFonts w:eastAsia="MS Mincho" w:hint="eastAsia"/>
          <w:b/>
          <w:highlight w:val="green"/>
          <w:u w:val="single"/>
          <w:lang w:eastAsia="ja-JP"/>
        </w:rPr>
        <w:t>Agreements:</w:t>
      </w:r>
    </w:p>
    <w:p w:rsidR="004E71B8" w:rsidRPr="008A6266" w:rsidRDefault="004E71B8" w:rsidP="004E71B8">
      <w:pPr>
        <w:numPr>
          <w:ilvl w:val="0"/>
          <w:numId w:val="38"/>
        </w:numPr>
        <w:rPr>
          <w:rFonts w:eastAsia="MS Mincho"/>
          <w:i/>
          <w:lang w:eastAsia="ja-JP"/>
        </w:rPr>
      </w:pPr>
      <w:bookmarkStart w:id="3" w:name="OLE_LINK48"/>
      <w:r w:rsidRPr="008A6266">
        <w:rPr>
          <w:rFonts w:eastAsia="MS Mincho"/>
          <w:i/>
          <w:lang w:eastAsia="ja-JP"/>
        </w:rPr>
        <w:t xml:space="preserve">Timing between DL assignment and corresponding DL data transmission </w:t>
      </w:r>
      <w:r w:rsidRPr="008A6266">
        <w:rPr>
          <w:rFonts w:eastAsia="MS Mincho" w:hint="eastAsia"/>
          <w:i/>
          <w:lang w:eastAsia="ja-JP"/>
        </w:rPr>
        <w:t>is</w:t>
      </w:r>
      <w:r w:rsidRPr="008A6266">
        <w:rPr>
          <w:rFonts w:eastAsia="MS Mincho"/>
          <w:i/>
          <w:lang w:eastAsia="ja-JP"/>
        </w:rPr>
        <w:t xml:space="preserve"> indicated by a </w:t>
      </w:r>
      <w:r w:rsidRPr="008A6266">
        <w:rPr>
          <w:rFonts w:eastAsia="MS Mincho" w:hint="eastAsia"/>
          <w:i/>
          <w:lang w:eastAsia="ja-JP"/>
        </w:rPr>
        <w:t xml:space="preserve">field in the DCI from a set of values </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i/>
          <w:lang w:eastAsia="ja-JP"/>
        </w:rPr>
        <w:t xml:space="preserve">Timing between UL assignment and corresponding UL data transmission </w:t>
      </w:r>
      <w:r w:rsidRPr="008A6266">
        <w:rPr>
          <w:rFonts w:eastAsia="MS Mincho" w:hint="eastAsia"/>
          <w:i/>
          <w:lang w:eastAsia="ja-JP"/>
        </w:rPr>
        <w:t>is</w:t>
      </w:r>
      <w:r w:rsidRPr="008A6266">
        <w:rPr>
          <w:rFonts w:eastAsia="MS Mincho"/>
          <w:i/>
          <w:lang w:eastAsia="ja-JP"/>
        </w:rPr>
        <w:t xml:space="preserve"> indicated by a </w:t>
      </w:r>
      <w:r w:rsidRPr="008A6266">
        <w:rPr>
          <w:rFonts w:eastAsia="MS Mincho" w:hint="eastAsia"/>
          <w:i/>
          <w:lang w:eastAsia="ja-JP"/>
        </w:rPr>
        <w:t>field in the DCI from a set of values</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i/>
          <w:lang w:eastAsia="ja-JP"/>
        </w:rPr>
        <w:t xml:space="preserve">Timing between DL data reception and corresponding acknowledgement </w:t>
      </w:r>
      <w:r w:rsidRPr="008A6266">
        <w:rPr>
          <w:rFonts w:eastAsia="MS Mincho" w:hint="eastAsia"/>
          <w:i/>
          <w:lang w:eastAsia="ja-JP"/>
        </w:rPr>
        <w:t xml:space="preserve">is </w:t>
      </w:r>
      <w:r w:rsidRPr="008A6266">
        <w:rPr>
          <w:rFonts w:eastAsia="MS Mincho"/>
          <w:i/>
          <w:lang w:eastAsia="ja-JP"/>
        </w:rPr>
        <w:t xml:space="preserve">indicated by a </w:t>
      </w:r>
      <w:r w:rsidRPr="008A6266">
        <w:rPr>
          <w:rFonts w:eastAsia="MS Mincho" w:hint="eastAsia"/>
          <w:i/>
          <w:lang w:eastAsia="ja-JP"/>
        </w:rPr>
        <w:t>field in  the DCI from a set of values</w:t>
      </w:r>
    </w:p>
    <w:p w:rsidR="004E71B8" w:rsidRPr="008A6266" w:rsidRDefault="004E71B8" w:rsidP="004E71B8">
      <w:pPr>
        <w:numPr>
          <w:ilvl w:val="1"/>
          <w:numId w:val="38"/>
        </w:numPr>
        <w:rPr>
          <w:rFonts w:eastAsia="MS Mincho"/>
          <w:i/>
          <w:lang w:eastAsia="ja-JP"/>
        </w:rPr>
      </w:pPr>
      <w:r w:rsidRPr="008A6266">
        <w:rPr>
          <w:rFonts w:eastAsia="MS Mincho"/>
          <w:i/>
          <w:lang w:eastAsia="ja-JP"/>
        </w:rPr>
        <w:t xml:space="preserve">The </w:t>
      </w:r>
      <w:r w:rsidRPr="008A6266">
        <w:rPr>
          <w:rFonts w:eastAsia="MS Mincho" w:hint="eastAsia"/>
          <w:i/>
          <w:lang w:eastAsia="ja-JP"/>
        </w:rPr>
        <w:t xml:space="preserve">set of </w:t>
      </w:r>
      <w:r w:rsidRPr="008A6266">
        <w:rPr>
          <w:rFonts w:eastAsia="MS Mincho"/>
          <w:i/>
          <w:lang w:eastAsia="ja-JP"/>
        </w:rPr>
        <w:t>value</w:t>
      </w:r>
      <w:r w:rsidRPr="008A6266">
        <w:rPr>
          <w:rFonts w:eastAsia="MS Mincho" w:hint="eastAsia"/>
          <w:i/>
          <w:lang w:eastAsia="ja-JP"/>
        </w:rPr>
        <w:t>s</w:t>
      </w:r>
      <w:r w:rsidRPr="008A6266">
        <w:rPr>
          <w:rFonts w:eastAsia="MS Mincho"/>
          <w:i/>
          <w:lang w:eastAsia="ja-JP"/>
        </w:rPr>
        <w:t xml:space="preserve"> </w:t>
      </w:r>
      <w:r w:rsidRPr="008A6266">
        <w:rPr>
          <w:rFonts w:eastAsia="MS Mincho" w:hint="eastAsia"/>
          <w:i/>
          <w:lang w:eastAsia="ja-JP"/>
        </w:rPr>
        <w:t>is configured by higher layer</w:t>
      </w:r>
    </w:p>
    <w:p w:rsidR="004E71B8" w:rsidRPr="008A6266" w:rsidRDefault="004E71B8" w:rsidP="004E71B8">
      <w:pPr>
        <w:numPr>
          <w:ilvl w:val="0"/>
          <w:numId w:val="38"/>
        </w:numPr>
        <w:rPr>
          <w:rFonts w:eastAsia="MS Mincho"/>
          <w:i/>
          <w:lang w:eastAsia="ja-JP"/>
        </w:rPr>
      </w:pPr>
      <w:r w:rsidRPr="008A6266">
        <w:rPr>
          <w:rFonts w:eastAsia="MS Mincho" w:hint="eastAsia"/>
          <w:i/>
          <w:lang w:eastAsia="ja-JP"/>
        </w:rPr>
        <w:t>T</w:t>
      </w:r>
      <w:r w:rsidRPr="008A6266">
        <w:rPr>
          <w:rFonts w:eastAsia="MS Mincho"/>
          <w:i/>
          <w:lang w:eastAsia="ja-JP"/>
        </w:rPr>
        <w:t>iming(s) is</w:t>
      </w:r>
      <w:r w:rsidRPr="008A6266">
        <w:rPr>
          <w:rFonts w:eastAsia="MS Mincho" w:hint="eastAsia"/>
          <w:i/>
          <w:lang w:eastAsia="ja-JP"/>
        </w:rPr>
        <w:t xml:space="preserve"> </w:t>
      </w:r>
      <w:r w:rsidRPr="008A6266">
        <w:rPr>
          <w:rFonts w:eastAsia="MS Mincho"/>
          <w:i/>
          <w:lang w:eastAsia="ja-JP"/>
        </w:rPr>
        <w:t>(are) defined at least for the case where the timing(s) is</w:t>
      </w:r>
      <w:r w:rsidRPr="008A6266">
        <w:rPr>
          <w:rFonts w:eastAsia="MS Mincho" w:hint="eastAsia"/>
          <w:i/>
          <w:lang w:eastAsia="ja-JP"/>
        </w:rPr>
        <w:t xml:space="preserve"> </w:t>
      </w:r>
      <w:r w:rsidRPr="008A6266">
        <w:rPr>
          <w:rFonts w:eastAsia="MS Mincho"/>
          <w:i/>
          <w:lang w:eastAsia="ja-JP"/>
        </w:rPr>
        <w:t>(are) unknown to the UE</w:t>
      </w:r>
    </w:p>
    <w:p w:rsidR="004E71B8" w:rsidRPr="008A6266" w:rsidRDefault="004E71B8" w:rsidP="004E71B8">
      <w:pPr>
        <w:numPr>
          <w:ilvl w:val="1"/>
          <w:numId w:val="38"/>
        </w:numPr>
        <w:rPr>
          <w:rFonts w:eastAsia="MS Mincho"/>
          <w:i/>
          <w:lang w:eastAsia="ja-JP"/>
        </w:rPr>
      </w:pPr>
      <w:r w:rsidRPr="008A6266">
        <w:rPr>
          <w:rFonts w:eastAsia="MS Mincho"/>
          <w:i/>
          <w:lang w:eastAsia="ja-JP"/>
        </w:rPr>
        <w:t>FFS the value for the timing</w:t>
      </w:r>
    </w:p>
    <w:bookmarkEnd w:id="3"/>
    <w:p w:rsidR="004E71B8" w:rsidRDefault="004E71B8" w:rsidP="004E71B8">
      <w:pPr>
        <w:pStyle w:val="a0"/>
        <w:rPr>
          <w:rFonts w:eastAsia="宋体"/>
          <w:lang w:eastAsia="zh-CN"/>
        </w:rPr>
      </w:pPr>
      <w:r w:rsidRPr="007E1DAD">
        <w:rPr>
          <w:rFonts w:eastAsia="宋体"/>
          <w:lang w:eastAsia="zh-CN"/>
        </w:rPr>
        <w:t>In</w:t>
      </w:r>
      <w:r w:rsidRPr="007E1DAD">
        <w:rPr>
          <w:rFonts w:eastAsia="宋体" w:hint="eastAsia"/>
          <w:lang w:eastAsia="zh-CN"/>
        </w:rPr>
        <w:t xml:space="preserve"> addition</w:t>
      </w:r>
      <w:r>
        <w:rPr>
          <w:rFonts w:eastAsia="宋体" w:hint="eastAsia"/>
          <w:lang w:eastAsia="zh-CN"/>
        </w:rPr>
        <w:t>, it was agree to support both dynamic TDD and semi-static TDD operation in NR, where the semi-static TDD operation was agreed as the follows</w:t>
      </w:r>
    </w:p>
    <w:p w:rsidR="004E71B8" w:rsidRPr="00EE729B" w:rsidRDefault="004E71B8" w:rsidP="004E71B8">
      <w:pPr>
        <w:rPr>
          <w:rFonts w:eastAsia="MS Mincho"/>
          <w:b/>
          <w:u w:val="single"/>
          <w:lang w:eastAsia="ja-JP"/>
        </w:rPr>
      </w:pPr>
      <w:r w:rsidRPr="00EE729B">
        <w:rPr>
          <w:rFonts w:eastAsia="MS Mincho"/>
          <w:b/>
          <w:highlight w:val="green"/>
          <w:u w:val="single"/>
          <w:lang w:eastAsia="ja-JP"/>
        </w:rPr>
        <w:t>Agreements:</w:t>
      </w:r>
    </w:p>
    <w:p w:rsidR="004E71B8" w:rsidRPr="007E1DAD" w:rsidRDefault="004E71B8" w:rsidP="004E71B8">
      <w:pPr>
        <w:numPr>
          <w:ilvl w:val="0"/>
          <w:numId w:val="39"/>
        </w:numPr>
        <w:rPr>
          <w:rFonts w:eastAsia="MS Mincho"/>
          <w:i/>
          <w:lang w:eastAsia="ja-JP"/>
        </w:rPr>
      </w:pPr>
      <w:r w:rsidRPr="007E1DAD">
        <w:rPr>
          <w:rFonts w:eastAsia="MS Mincho"/>
          <w:i/>
          <w:lang w:eastAsia="ja-JP"/>
        </w:rPr>
        <w:t>NR supports at least semi-statically assigned DL/UL transmission direction as gNB operation</w:t>
      </w:r>
    </w:p>
    <w:p w:rsidR="004E71B8" w:rsidRPr="007E1DAD" w:rsidRDefault="004E71B8" w:rsidP="004E71B8">
      <w:pPr>
        <w:numPr>
          <w:ilvl w:val="1"/>
          <w:numId w:val="39"/>
        </w:numPr>
        <w:rPr>
          <w:rFonts w:eastAsia="MS Mincho"/>
          <w:i/>
          <w:lang w:eastAsia="ja-JP"/>
        </w:rPr>
      </w:pPr>
      <w:r w:rsidRPr="007E1DAD">
        <w:rPr>
          <w:rFonts w:eastAsia="MS Mincho"/>
          <w:i/>
          <w:lang w:eastAsia="ja-JP"/>
        </w:rPr>
        <w:t>The assigned DL/UL tran</w:t>
      </w:r>
      <w:r>
        <w:rPr>
          <w:rFonts w:eastAsia="MS Mincho"/>
          <w:i/>
          <w:lang w:eastAsia="ja-JP"/>
        </w:rPr>
        <w:t>smission direction can be signaled to UE by higher layer signa</w:t>
      </w:r>
      <w:r w:rsidRPr="007E1DAD">
        <w:rPr>
          <w:rFonts w:eastAsia="MS Mincho"/>
          <w:i/>
          <w:lang w:eastAsia="ja-JP"/>
        </w:rPr>
        <w:t>ling</w:t>
      </w:r>
    </w:p>
    <w:p w:rsidR="004E71B8" w:rsidRPr="004E71B8" w:rsidRDefault="004E71B8" w:rsidP="004E71B8">
      <w:pPr>
        <w:tabs>
          <w:tab w:val="left" w:pos="0"/>
        </w:tabs>
        <w:rPr>
          <w:rFonts w:eastAsia="MS Mincho"/>
          <w:iCs/>
          <w:szCs w:val="20"/>
          <w:lang w:eastAsia="ja-JP"/>
        </w:rPr>
      </w:pPr>
    </w:p>
    <w:p w:rsidR="001F1D34" w:rsidRPr="001F1D34" w:rsidRDefault="00173F2D" w:rsidP="00A347AA">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we share our views on</w:t>
      </w:r>
      <w:r w:rsidR="000B36A4">
        <w:rPr>
          <w:rFonts w:eastAsia="宋体"/>
          <w:lang w:val="en-GB" w:eastAsia="zh-CN"/>
        </w:rPr>
        <w:t xml:space="preserve"> the</w:t>
      </w:r>
      <w:r w:rsidR="000B36A4" w:rsidRPr="000B36A4">
        <w:rPr>
          <w:rFonts w:cs="Arial"/>
        </w:rPr>
        <w:t xml:space="preserve"> UE processing time and HARQ timing</w:t>
      </w:r>
      <w:r w:rsidR="000B36A4">
        <w:rPr>
          <w:rFonts w:cs="Arial"/>
        </w:rPr>
        <w:t>.</w:t>
      </w:r>
    </w:p>
    <w:p w:rsidR="001F1D34" w:rsidRPr="008E626A" w:rsidRDefault="00856DA7" w:rsidP="00856DA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856DA7">
        <w:rPr>
          <w:rFonts w:cs="Times New Roman"/>
          <w:b w:val="0"/>
          <w:bCs w:val="0"/>
          <w:kern w:val="0"/>
          <w:sz w:val="36"/>
          <w:szCs w:val="20"/>
          <w:lang w:val="en-GB"/>
        </w:rPr>
        <w:t>UE processing time</w:t>
      </w:r>
      <w:r w:rsidR="00E7687C" w:rsidRPr="008E626A">
        <w:rPr>
          <w:rFonts w:cs="Times New Roman"/>
          <w:b w:val="0"/>
          <w:bCs w:val="0"/>
          <w:kern w:val="0"/>
          <w:sz w:val="36"/>
          <w:szCs w:val="20"/>
          <w:lang w:val="en-GB" w:eastAsia="en-GB"/>
        </w:rPr>
        <w:t xml:space="preserve"> </w:t>
      </w:r>
    </w:p>
    <w:p w:rsidR="00856DA7" w:rsidRDefault="00856DA7" w:rsidP="00856DA7">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Self-contained operations</w:t>
      </w:r>
    </w:p>
    <w:p w:rsidR="00856DA7" w:rsidRDefault="00856DA7" w:rsidP="00856DA7">
      <w:pPr>
        <w:pStyle w:val="a0"/>
        <w:rPr>
          <w:rFonts w:eastAsia="宋体"/>
          <w:lang w:val="en-GB" w:eastAsia="zh-CN"/>
        </w:rPr>
      </w:pPr>
      <w:r>
        <w:rPr>
          <w:rFonts w:eastAsia="宋体"/>
          <w:lang w:val="en-GB" w:eastAsia="zh-CN"/>
        </w:rPr>
        <w:t>According to the agreement,</w:t>
      </w:r>
      <w:r w:rsidRPr="00B7785C">
        <w:rPr>
          <w:rFonts w:eastAsia="宋体"/>
          <w:lang w:eastAsia="zh-CN"/>
        </w:rPr>
        <w:t xml:space="preserve"> </w:t>
      </w:r>
      <w:r>
        <w:rPr>
          <w:rFonts w:eastAsia="宋体"/>
          <w:lang w:eastAsia="zh-CN"/>
        </w:rPr>
        <w:t>s</w:t>
      </w:r>
      <w:r w:rsidRPr="008F10B0">
        <w:rPr>
          <w:rFonts w:eastAsia="宋体"/>
          <w:lang w:eastAsia="zh-CN"/>
        </w:rPr>
        <w:t>ome UEs may support</w:t>
      </w:r>
      <w:r>
        <w:rPr>
          <w:rFonts w:eastAsia="宋体"/>
          <w:lang w:val="en-GB" w:eastAsia="zh-CN"/>
        </w:rPr>
        <w:t xml:space="preserve"> </w:t>
      </w:r>
      <w:r w:rsidRPr="00D450D9">
        <w:rPr>
          <w:rFonts w:eastAsia="宋体"/>
          <w:lang w:eastAsia="zh-CN"/>
        </w:rPr>
        <w:t>K1=0</w:t>
      </w:r>
      <w:r>
        <w:rPr>
          <w:rFonts w:eastAsia="宋体"/>
          <w:lang w:eastAsia="zh-CN"/>
        </w:rPr>
        <w:t xml:space="preserve"> or K2=0 (Figure 1a and 1b respectively). And according to the definition of UE processing time, it is defined in terms of number of symbols. Therefore, current agreement on UE processing time which are described in terms of slots can be updated. The following four cases (i.e. self-contain operations) are highlighted with the most critical UE processing time requirements. (Figure 1)</w:t>
      </w:r>
    </w:p>
    <w:p w:rsidR="00856DA7" w:rsidRDefault="00856DA7" w:rsidP="00856DA7">
      <w:pPr>
        <w:pStyle w:val="a0"/>
        <w:numPr>
          <w:ilvl w:val="0"/>
          <w:numId w:val="33"/>
        </w:numPr>
        <w:rPr>
          <w:rFonts w:eastAsia="宋体"/>
          <w:lang w:eastAsia="zh-CN"/>
        </w:rPr>
      </w:pPr>
      <w:r w:rsidRPr="00D450D9">
        <w:rPr>
          <w:rFonts w:eastAsia="宋体"/>
          <w:lang w:eastAsia="zh-CN"/>
        </w:rPr>
        <w:t>self-contained operation in a bi-directional slot with K1=0</w:t>
      </w:r>
    </w:p>
    <w:p w:rsidR="00856DA7" w:rsidRDefault="00856DA7" w:rsidP="00856DA7">
      <w:pPr>
        <w:pStyle w:val="a0"/>
        <w:numPr>
          <w:ilvl w:val="0"/>
          <w:numId w:val="33"/>
        </w:numPr>
        <w:rPr>
          <w:rFonts w:eastAsia="宋体"/>
          <w:lang w:eastAsia="zh-CN"/>
        </w:rPr>
      </w:pPr>
      <w:r w:rsidRPr="00D450D9">
        <w:rPr>
          <w:rFonts w:eastAsia="宋体"/>
          <w:lang w:eastAsia="zh-CN"/>
        </w:rPr>
        <w:t>self-contained operation in a bi-directional slot with K</w:t>
      </w:r>
      <w:r>
        <w:rPr>
          <w:rFonts w:eastAsia="宋体"/>
          <w:lang w:eastAsia="zh-CN"/>
        </w:rPr>
        <w:t>2</w:t>
      </w:r>
      <w:r w:rsidRPr="00D450D9">
        <w:rPr>
          <w:rFonts w:eastAsia="宋体"/>
          <w:lang w:eastAsia="zh-CN"/>
        </w:rPr>
        <w:t>=0</w:t>
      </w:r>
    </w:p>
    <w:p w:rsidR="00856DA7" w:rsidRDefault="00856DA7" w:rsidP="00856DA7">
      <w:pPr>
        <w:pStyle w:val="a0"/>
        <w:numPr>
          <w:ilvl w:val="0"/>
          <w:numId w:val="33"/>
        </w:numPr>
        <w:rPr>
          <w:rFonts w:eastAsia="宋体"/>
          <w:lang w:eastAsia="zh-CN"/>
        </w:rPr>
      </w:pPr>
      <w:r w:rsidRPr="00D450D9">
        <w:rPr>
          <w:rFonts w:eastAsia="宋体"/>
          <w:lang w:eastAsia="zh-CN"/>
        </w:rPr>
        <w:lastRenderedPageBreak/>
        <w:t>Immediate acknowledgement w/in next long uplink bursts</w:t>
      </w:r>
    </w:p>
    <w:p w:rsidR="00856DA7" w:rsidRPr="00D450D9" w:rsidRDefault="00856DA7" w:rsidP="00856DA7">
      <w:pPr>
        <w:pStyle w:val="a0"/>
        <w:numPr>
          <w:ilvl w:val="0"/>
          <w:numId w:val="33"/>
        </w:numPr>
        <w:rPr>
          <w:rFonts w:eastAsia="宋体"/>
          <w:lang w:eastAsia="zh-CN"/>
        </w:rPr>
      </w:pPr>
      <w:r w:rsidRPr="00D450D9">
        <w:rPr>
          <w:rFonts w:eastAsia="宋体"/>
          <w:lang w:eastAsia="zh-CN"/>
        </w:rPr>
        <w:t xml:space="preserve">Immediate acknowledgement w/in next long </w:t>
      </w:r>
      <w:r w:rsidR="00110880">
        <w:rPr>
          <w:rFonts w:eastAsia="宋体"/>
          <w:lang w:eastAsia="zh-CN"/>
        </w:rPr>
        <w:t>downlink</w:t>
      </w:r>
      <w:r w:rsidRPr="00D450D9">
        <w:rPr>
          <w:rFonts w:eastAsia="宋体"/>
          <w:lang w:eastAsia="zh-CN"/>
        </w:rPr>
        <w:t xml:space="preserve"> bursts</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3735"/>
      </w:tblGrid>
      <w:tr w:rsidR="00086103" w:rsidTr="0012174F">
        <w:tc>
          <w:tcPr>
            <w:tcW w:w="2941" w:type="pct"/>
          </w:tcPr>
          <w:p w:rsidR="00086103" w:rsidRDefault="00086103" w:rsidP="0012174F">
            <w:pPr>
              <w:pStyle w:val="a0"/>
              <w:jc w:val="center"/>
              <w:rPr>
                <w:rFonts w:eastAsia="宋体"/>
                <w:lang w:eastAsia="zh-CN"/>
              </w:rPr>
            </w:pPr>
            <w:r w:rsidRPr="00814F7E">
              <w:rPr>
                <w:rFonts w:eastAsia="宋体"/>
                <w:noProof/>
                <w:lang w:eastAsia="zh-CN"/>
              </w:rPr>
              <w:drawing>
                <wp:inline distT="0" distB="0" distL="0" distR="0" wp14:anchorId="368E96A8" wp14:editId="1736876C">
                  <wp:extent cx="1515600" cy="6300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5600" cy="630000"/>
                          </a:xfrm>
                          <a:prstGeom prst="rect">
                            <a:avLst/>
                          </a:prstGeom>
                          <a:noFill/>
                          <a:ln>
                            <a:noFill/>
                          </a:ln>
                        </pic:spPr>
                      </pic:pic>
                    </a:graphicData>
                  </a:graphic>
                </wp:inline>
              </w:drawing>
            </w:r>
          </w:p>
          <w:p w:rsidR="00086103" w:rsidRDefault="00086103" w:rsidP="0012174F">
            <w:pPr>
              <w:pStyle w:val="a0"/>
              <w:jc w:val="center"/>
              <w:rPr>
                <w:rFonts w:eastAsia="宋体"/>
                <w:lang w:eastAsia="zh-CN"/>
              </w:rPr>
            </w:pPr>
            <w:r>
              <w:rPr>
                <w:rFonts w:eastAsia="宋体" w:hint="eastAsia"/>
                <w:lang w:eastAsia="zh-CN"/>
              </w:rPr>
              <w:t>(a)</w:t>
            </w:r>
          </w:p>
        </w:tc>
        <w:tc>
          <w:tcPr>
            <w:tcW w:w="2059" w:type="pct"/>
          </w:tcPr>
          <w:p w:rsidR="00086103" w:rsidRDefault="00086103" w:rsidP="0012174F">
            <w:pPr>
              <w:pStyle w:val="a0"/>
              <w:jc w:val="center"/>
              <w:rPr>
                <w:rFonts w:eastAsia="宋体"/>
                <w:lang w:eastAsia="zh-CN"/>
              </w:rPr>
            </w:pPr>
            <w:r w:rsidRPr="00814F7E">
              <w:rPr>
                <w:rFonts w:eastAsia="宋体"/>
                <w:noProof/>
                <w:lang w:eastAsia="zh-CN"/>
              </w:rPr>
              <w:drawing>
                <wp:inline distT="0" distB="0" distL="0" distR="0" wp14:anchorId="21F5EC4A" wp14:editId="7276933E">
                  <wp:extent cx="1522800" cy="6336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2800" cy="633600"/>
                          </a:xfrm>
                          <a:prstGeom prst="rect">
                            <a:avLst/>
                          </a:prstGeom>
                          <a:noFill/>
                          <a:ln>
                            <a:noFill/>
                          </a:ln>
                        </pic:spPr>
                      </pic:pic>
                    </a:graphicData>
                  </a:graphic>
                </wp:inline>
              </w:drawing>
            </w:r>
          </w:p>
          <w:p w:rsidR="00086103" w:rsidRDefault="00086103" w:rsidP="0012174F">
            <w:pPr>
              <w:pStyle w:val="a0"/>
              <w:jc w:val="center"/>
              <w:rPr>
                <w:rFonts w:eastAsia="宋体"/>
                <w:lang w:eastAsia="zh-CN"/>
              </w:rPr>
            </w:pPr>
            <w:r>
              <w:rPr>
                <w:rFonts w:eastAsia="宋体" w:hint="eastAsia"/>
                <w:lang w:eastAsia="zh-CN"/>
              </w:rPr>
              <w:t>(b)</w:t>
            </w:r>
          </w:p>
        </w:tc>
      </w:tr>
      <w:tr w:rsidR="00086103" w:rsidRPr="00814F7E" w:rsidTr="0012174F">
        <w:tc>
          <w:tcPr>
            <w:tcW w:w="2941" w:type="pct"/>
          </w:tcPr>
          <w:p w:rsidR="00086103" w:rsidRPr="00814F7E" w:rsidRDefault="00086103" w:rsidP="0012174F">
            <w:pPr>
              <w:pStyle w:val="a0"/>
              <w:jc w:val="center"/>
              <w:rPr>
                <w:rFonts w:eastAsia="宋体"/>
                <w:noProof/>
                <w:lang w:eastAsia="zh-CN"/>
              </w:rPr>
            </w:pPr>
            <w:r w:rsidRPr="00814F7E">
              <w:rPr>
                <w:rFonts w:eastAsia="宋体"/>
                <w:noProof/>
                <w:lang w:eastAsia="zh-CN"/>
              </w:rPr>
              <w:drawing>
                <wp:inline distT="0" distB="0" distL="0" distR="0" wp14:anchorId="39977C91" wp14:editId="03929069">
                  <wp:extent cx="2289600" cy="59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9600" cy="594000"/>
                          </a:xfrm>
                          <a:prstGeom prst="rect">
                            <a:avLst/>
                          </a:prstGeom>
                          <a:noFill/>
                          <a:ln>
                            <a:noFill/>
                          </a:ln>
                        </pic:spPr>
                      </pic:pic>
                    </a:graphicData>
                  </a:graphic>
                </wp:inline>
              </w:drawing>
            </w:r>
          </w:p>
        </w:tc>
        <w:tc>
          <w:tcPr>
            <w:tcW w:w="2059" w:type="pct"/>
          </w:tcPr>
          <w:p w:rsidR="00086103" w:rsidRPr="00814F7E" w:rsidRDefault="00086103" w:rsidP="0012174F">
            <w:pPr>
              <w:pStyle w:val="a0"/>
              <w:jc w:val="center"/>
              <w:rPr>
                <w:rFonts w:eastAsia="宋体"/>
                <w:noProof/>
                <w:lang w:eastAsia="zh-CN"/>
              </w:rPr>
            </w:pPr>
            <w:r>
              <w:rPr>
                <w:rFonts w:eastAsia="宋体"/>
                <w:noProof/>
                <w:lang w:eastAsia="zh-CN"/>
              </w:rPr>
              <w:drawing>
                <wp:inline distT="0" distB="0" distL="0" distR="0" wp14:anchorId="28BAB56F" wp14:editId="1DCF1A06">
                  <wp:extent cx="1555200" cy="6408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5200" cy="640800"/>
                          </a:xfrm>
                          <a:prstGeom prst="rect">
                            <a:avLst/>
                          </a:prstGeom>
                          <a:noFill/>
                        </pic:spPr>
                      </pic:pic>
                    </a:graphicData>
                  </a:graphic>
                </wp:inline>
              </w:drawing>
            </w:r>
          </w:p>
        </w:tc>
      </w:tr>
      <w:tr w:rsidR="00086103" w:rsidRPr="00814F7E" w:rsidTr="0012174F">
        <w:tc>
          <w:tcPr>
            <w:tcW w:w="2941" w:type="pct"/>
          </w:tcPr>
          <w:p w:rsidR="00086103" w:rsidRPr="00814F7E" w:rsidRDefault="00086103" w:rsidP="0012174F">
            <w:pPr>
              <w:pStyle w:val="a0"/>
              <w:jc w:val="center"/>
              <w:rPr>
                <w:rFonts w:eastAsia="宋体"/>
                <w:noProof/>
                <w:lang w:eastAsia="zh-CN"/>
              </w:rPr>
            </w:pPr>
            <w:r>
              <w:rPr>
                <w:rFonts w:eastAsia="宋体" w:hint="eastAsia"/>
                <w:lang w:eastAsia="zh-CN"/>
              </w:rPr>
              <w:t>(c)</w:t>
            </w:r>
          </w:p>
        </w:tc>
        <w:tc>
          <w:tcPr>
            <w:tcW w:w="2059" w:type="pct"/>
          </w:tcPr>
          <w:p w:rsidR="00086103" w:rsidRPr="00814F7E" w:rsidRDefault="00086103" w:rsidP="0012174F">
            <w:pPr>
              <w:pStyle w:val="a0"/>
              <w:jc w:val="center"/>
              <w:rPr>
                <w:rFonts w:eastAsia="宋体"/>
                <w:noProof/>
                <w:lang w:eastAsia="zh-CN"/>
              </w:rPr>
            </w:pPr>
            <w:r>
              <w:rPr>
                <w:rFonts w:eastAsia="宋体" w:hint="eastAsia"/>
                <w:noProof/>
                <w:lang w:eastAsia="zh-CN"/>
              </w:rPr>
              <w:t>(d)</w:t>
            </w:r>
          </w:p>
        </w:tc>
      </w:tr>
    </w:tbl>
    <w:p w:rsidR="00856DA7" w:rsidRDefault="00856DA7" w:rsidP="00856DA7">
      <w:pPr>
        <w:pStyle w:val="a0"/>
        <w:jc w:val="center"/>
        <w:rPr>
          <w:rFonts w:ascii="Arial" w:eastAsia="宋体" w:hAnsi="Arial" w:cs="Arial"/>
          <w:b/>
          <w:szCs w:val="20"/>
          <w:lang w:val="en-GB" w:eastAsia="zh-CN"/>
        </w:rPr>
      </w:pPr>
      <w:r w:rsidRPr="00856DA7">
        <w:rPr>
          <w:rFonts w:ascii="Arial" w:eastAsia="宋体" w:hAnsi="Arial" w:cs="Arial"/>
          <w:b/>
          <w:szCs w:val="20"/>
          <w:lang w:val="en-GB" w:eastAsia="zh-CN"/>
        </w:rPr>
        <w:t>Figure 1. use case of self-contained operation</w:t>
      </w:r>
    </w:p>
    <w:p w:rsidR="00856DA7" w:rsidRDefault="00086103" w:rsidP="00086103">
      <w:pPr>
        <w:pStyle w:val="20"/>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w:t>
      </w:r>
      <w:r w:rsidRPr="00DB010D">
        <w:rPr>
          <w:rFonts w:eastAsia="宋体" w:cs="Times New Roman"/>
          <w:b w:val="0"/>
          <w:sz w:val="32"/>
          <w:szCs w:val="20"/>
          <w:lang w:val="en-GB"/>
        </w:rPr>
        <w:t>andidate factors for processing time</w:t>
      </w:r>
    </w:p>
    <w:p w:rsidR="00086103" w:rsidRDefault="00086103" w:rsidP="00086103">
      <w:pPr>
        <w:pStyle w:val="a0"/>
        <w:rPr>
          <w:sz w:val="18"/>
          <w:szCs w:val="18"/>
        </w:rPr>
      </w:pPr>
      <w:r>
        <w:rPr>
          <w:rFonts w:eastAsia="宋体"/>
          <w:lang w:val="en-GB" w:eastAsia="zh-CN"/>
        </w:rPr>
        <w:t>Several factors for UE processing time</w:t>
      </w:r>
      <w:r>
        <w:rPr>
          <w:rFonts w:eastAsiaTheme="minorEastAsia"/>
          <w:lang w:val="en-GB" w:eastAsia="zh-CN"/>
        </w:rPr>
        <w:t xml:space="preserve"> are agreed in the last meeting. For</w:t>
      </w:r>
      <w:r>
        <w:rPr>
          <w:rFonts w:eastAsiaTheme="minorEastAsia" w:hint="eastAsia"/>
          <w:lang w:val="en-GB" w:eastAsia="zh-CN"/>
        </w:rPr>
        <w:t xml:space="preserve"> </w:t>
      </w:r>
      <w:r>
        <w:rPr>
          <w:rFonts w:eastAsia="Batang"/>
          <w:szCs w:val="20"/>
          <w:lang w:val="en-GB" w:eastAsia="x-none"/>
        </w:rPr>
        <w:t>a</w:t>
      </w:r>
      <w:r w:rsidRPr="009065A0">
        <w:rPr>
          <w:rFonts w:eastAsia="Batang"/>
          <w:szCs w:val="20"/>
          <w:lang w:val="en-GB" w:eastAsia="x-none"/>
        </w:rPr>
        <w:t>dditional candidate factors indicated in []</w:t>
      </w:r>
      <w:r>
        <w:rPr>
          <w:rFonts w:eastAsia="Batang"/>
          <w:szCs w:val="20"/>
          <w:lang w:val="en-GB" w:eastAsia="x-none"/>
        </w:rPr>
        <w:t xml:space="preserve">, we think the </w:t>
      </w:r>
      <w:r w:rsidRPr="00381A8B">
        <w:rPr>
          <w:sz w:val="18"/>
          <w:szCs w:val="18"/>
        </w:rPr>
        <w:t>[Percentage of peak rate]</w:t>
      </w:r>
      <w:r>
        <w:rPr>
          <w:sz w:val="18"/>
          <w:szCs w:val="18"/>
        </w:rPr>
        <w:t xml:space="preserve"> shall also be considered for the following reasons,</w:t>
      </w:r>
    </w:p>
    <w:p w:rsidR="00086103" w:rsidRDefault="008659F6" w:rsidP="00086103">
      <w:pPr>
        <w:pStyle w:val="a0"/>
        <w:rPr>
          <w:rFonts w:eastAsiaTheme="minorEastAsia"/>
          <w:lang w:val="en-GB" w:eastAsia="zh-CN"/>
        </w:rPr>
      </w:pPr>
      <w:r>
        <w:rPr>
          <w:rFonts w:eastAsiaTheme="minorEastAsia"/>
          <w:lang w:val="en-GB" w:eastAsia="zh-CN"/>
        </w:rPr>
        <w:t xml:space="preserve">Firstly, </w:t>
      </w:r>
      <w:r>
        <w:rPr>
          <w:rFonts w:eastAsiaTheme="minorEastAsia" w:hint="eastAsia"/>
          <w:lang w:val="en-GB" w:eastAsia="zh-CN"/>
        </w:rPr>
        <w:t xml:space="preserve">NR terminal supports wider BW up to 100MHz in sub6GHz. </w:t>
      </w:r>
      <w:r>
        <w:rPr>
          <w:rFonts w:eastAsiaTheme="minorEastAsia"/>
          <w:lang w:val="en-GB" w:eastAsia="zh-CN"/>
        </w:rPr>
        <w:t>Hence the UE processing time varies a lot for different BWs. It is useful to fully exploit the UE processing capability when UE is operating in a narrow BW, and useful to restrict the HARQ-ACK feedback timing when UE is operating in a wider BW.</w:t>
      </w:r>
    </w:p>
    <w:p w:rsidR="008659F6" w:rsidRDefault="008659F6" w:rsidP="00086103">
      <w:pPr>
        <w:pStyle w:val="a0"/>
        <w:rPr>
          <w:rFonts w:eastAsiaTheme="minorEastAsia"/>
          <w:lang w:val="en-GB" w:eastAsia="zh-CN"/>
        </w:rPr>
      </w:pPr>
      <w:r>
        <w:rPr>
          <w:rFonts w:eastAsiaTheme="minorEastAsia" w:hint="eastAsia"/>
          <w:lang w:val="en-GB" w:eastAsia="zh-CN"/>
        </w:rPr>
        <w:t xml:space="preserve">Secondly, allowing different timing for different throughput is </w:t>
      </w:r>
      <w:r>
        <w:rPr>
          <w:rFonts w:eastAsiaTheme="minorEastAsia"/>
          <w:lang w:val="en-GB" w:eastAsia="zh-CN"/>
        </w:rPr>
        <w:t>beneficial</w:t>
      </w:r>
      <w:r>
        <w:rPr>
          <w:rFonts w:eastAsiaTheme="minorEastAsia" w:hint="eastAsia"/>
          <w:lang w:val="en-GB" w:eastAsia="zh-CN"/>
        </w:rPr>
        <w:t xml:space="preserve"> </w:t>
      </w:r>
      <w:r>
        <w:rPr>
          <w:rFonts w:eastAsiaTheme="minorEastAsia"/>
          <w:lang w:val="en-GB" w:eastAsia="zh-CN"/>
        </w:rPr>
        <w:t>for latency optimization when UE is operating in lower data rate.</w:t>
      </w:r>
    </w:p>
    <w:p w:rsidR="008659F6" w:rsidRDefault="008659F6" w:rsidP="00086103">
      <w:pPr>
        <w:pStyle w:val="a0"/>
        <w:rPr>
          <w:rFonts w:ascii="Times" w:eastAsia="Batang" w:hAnsi="Times"/>
          <w:lang w:val="en-GB"/>
        </w:rPr>
      </w:pPr>
      <w:r>
        <w:rPr>
          <w:rFonts w:eastAsiaTheme="minorEastAsia"/>
          <w:lang w:val="en-GB" w:eastAsia="zh-CN"/>
        </w:rPr>
        <w:t xml:space="preserve">Therefore, we propose to add the </w:t>
      </w:r>
      <w:r w:rsidR="00667355">
        <w:rPr>
          <w:sz w:val="18"/>
          <w:szCs w:val="18"/>
        </w:rPr>
        <w:t>“Percentage of peak rate” for</w:t>
      </w:r>
      <w:r>
        <w:rPr>
          <w:sz w:val="18"/>
          <w:szCs w:val="18"/>
        </w:rPr>
        <w:t xml:space="preserve"> </w:t>
      </w:r>
      <w:r w:rsidR="00667355">
        <w:rPr>
          <w:rFonts w:ascii="Times" w:eastAsia="Batang" w:hAnsi="Times"/>
          <w:lang w:val="en-GB"/>
        </w:rPr>
        <w:t>t</w:t>
      </w:r>
      <w:r w:rsidR="00667355" w:rsidRPr="009065A0">
        <w:rPr>
          <w:rFonts w:ascii="Times" w:eastAsia="Batang" w:hAnsi="Times"/>
          <w:lang w:val="en-GB"/>
        </w:rPr>
        <w:t>he candidate factors for (N1,N2) processing time characterization</w:t>
      </w:r>
      <w:r w:rsidR="00667355">
        <w:rPr>
          <w:rFonts w:ascii="Times" w:eastAsia="Batang" w:hAnsi="Times"/>
          <w:lang w:val="en-GB"/>
        </w:rPr>
        <w:t>.</w:t>
      </w:r>
    </w:p>
    <w:p w:rsidR="00667355" w:rsidRDefault="00667355" w:rsidP="00086103">
      <w:pPr>
        <w:pStyle w:val="a0"/>
        <w:rPr>
          <w:rFonts w:eastAsia="宋体"/>
          <w:szCs w:val="20"/>
        </w:rPr>
      </w:pPr>
      <w:r>
        <w:rPr>
          <w:rFonts w:ascii="Times" w:eastAsia="Batang" w:hAnsi="Times"/>
          <w:lang w:val="en-GB"/>
        </w:rPr>
        <w:t>Additionally, since the peak data is characterized by the “</w:t>
      </w:r>
      <w:r w:rsidRPr="00667355">
        <w:rPr>
          <w:rFonts w:ascii="Times" w:eastAsia="Batang" w:hAnsi="Times"/>
          <w:i/>
          <w:lang w:val="en-GB"/>
        </w:rPr>
        <w:t>m</w:t>
      </w:r>
      <w:r w:rsidRPr="00667355">
        <w:rPr>
          <w:rFonts w:eastAsia="宋体"/>
          <w:i/>
          <w:szCs w:val="20"/>
        </w:rPr>
        <w:t>aximum total number of information bits among transport blocks per slot across component carriers</w:t>
      </w:r>
      <w:r>
        <w:rPr>
          <w:rFonts w:eastAsia="宋体"/>
          <w:szCs w:val="20"/>
        </w:rPr>
        <w:t>”, we therefore propose,</w:t>
      </w:r>
    </w:p>
    <w:p w:rsidR="00574750" w:rsidRPr="00574750" w:rsidRDefault="00667355" w:rsidP="00667355">
      <w:pPr>
        <w:pStyle w:val="a0"/>
        <w:rPr>
          <w:rFonts w:eastAsia="宋体"/>
          <w:b/>
          <w:i/>
          <w:szCs w:val="20"/>
        </w:rPr>
      </w:pPr>
      <w:r w:rsidRPr="00574750">
        <w:rPr>
          <w:rFonts w:eastAsia="宋体"/>
          <w:b/>
          <w:i/>
          <w:szCs w:val="20"/>
        </w:rPr>
        <w:t xml:space="preserve">Proposal 1: </w:t>
      </w:r>
    </w:p>
    <w:p w:rsidR="00667355" w:rsidRPr="00574750" w:rsidRDefault="00667355" w:rsidP="00574750">
      <w:pPr>
        <w:pStyle w:val="a0"/>
        <w:numPr>
          <w:ilvl w:val="0"/>
          <w:numId w:val="37"/>
        </w:numPr>
        <w:rPr>
          <w:szCs w:val="20"/>
          <w:lang w:eastAsia="zh-CN"/>
        </w:rPr>
      </w:pPr>
      <w:r w:rsidRPr="00574750">
        <w:rPr>
          <w:szCs w:val="20"/>
        </w:rPr>
        <w:t>The candidate factors when determining the UE processing times (N1,N2) includes the ‘</w:t>
      </w:r>
      <w:r w:rsidRPr="00574750">
        <w:rPr>
          <w:i/>
          <w:szCs w:val="20"/>
        </w:rPr>
        <w:t xml:space="preserve">percentage </w:t>
      </w:r>
      <w:r w:rsidR="0084209C" w:rsidRPr="00574750">
        <w:rPr>
          <w:i/>
          <w:szCs w:val="20"/>
        </w:rPr>
        <w:t xml:space="preserve">ratio </w:t>
      </w:r>
      <w:r w:rsidRPr="00574750">
        <w:rPr>
          <w:i/>
          <w:szCs w:val="20"/>
        </w:rPr>
        <w:t xml:space="preserve">of </w:t>
      </w:r>
      <w:r w:rsidR="0084209C" w:rsidRPr="00574750">
        <w:rPr>
          <w:i/>
          <w:szCs w:val="20"/>
        </w:rPr>
        <w:t xml:space="preserve">the </w:t>
      </w:r>
      <w:r w:rsidRPr="00574750">
        <w:rPr>
          <w:rFonts w:eastAsia="宋体"/>
          <w:i/>
          <w:szCs w:val="20"/>
        </w:rPr>
        <w:t xml:space="preserve">number of information bits </w:t>
      </w:r>
      <w:r w:rsidR="0084209C" w:rsidRPr="00574750">
        <w:rPr>
          <w:rFonts w:eastAsia="宋体"/>
          <w:i/>
          <w:szCs w:val="20"/>
        </w:rPr>
        <w:t>to</w:t>
      </w:r>
      <w:r w:rsidRPr="00574750">
        <w:rPr>
          <w:rFonts w:eastAsia="宋体"/>
          <w:i/>
          <w:szCs w:val="20"/>
        </w:rPr>
        <w:t xml:space="preserve"> </w:t>
      </w:r>
      <w:r w:rsidR="0084209C" w:rsidRPr="00574750">
        <w:rPr>
          <w:rFonts w:eastAsia="宋体"/>
          <w:i/>
          <w:szCs w:val="20"/>
        </w:rPr>
        <w:t xml:space="preserve">the </w:t>
      </w:r>
      <w:r w:rsidRPr="00574750">
        <w:rPr>
          <w:rFonts w:ascii="Times" w:eastAsia="Batang" w:hAnsi="Times"/>
          <w:i/>
          <w:lang w:val="en-GB"/>
        </w:rPr>
        <w:t>m</w:t>
      </w:r>
      <w:r w:rsidRPr="00574750">
        <w:rPr>
          <w:rFonts w:eastAsia="宋体"/>
          <w:i/>
          <w:szCs w:val="20"/>
        </w:rPr>
        <w:t>aximum total number of information bits among transport blocks per slot across component carriers</w:t>
      </w:r>
      <w:r w:rsidRPr="00574750">
        <w:rPr>
          <w:szCs w:val="20"/>
        </w:rPr>
        <w:t>’</w:t>
      </w:r>
      <w:r w:rsidR="0084209C" w:rsidRPr="00574750">
        <w:rPr>
          <w:szCs w:val="20"/>
        </w:rPr>
        <w:t>.</w:t>
      </w:r>
    </w:p>
    <w:p w:rsidR="004057CD" w:rsidRPr="000B36A4" w:rsidRDefault="00050DE0" w:rsidP="004057C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HARQ timing design aspects</w:t>
      </w:r>
    </w:p>
    <w:bookmarkEnd w:id="1"/>
    <w:bookmarkEnd w:id="2"/>
    <w:p w:rsidR="00574750" w:rsidRPr="0015502B" w:rsidRDefault="00574750" w:rsidP="00574750">
      <w:pPr>
        <w:pStyle w:val="a0"/>
        <w:rPr>
          <w:rFonts w:eastAsia="宋体"/>
          <w:u w:val="single"/>
          <w:lang w:val="fr-FR" w:eastAsia="zh-CN"/>
        </w:rPr>
      </w:pPr>
      <w:r w:rsidRPr="0015502B">
        <w:rPr>
          <w:rFonts w:eastAsia="宋体" w:hint="eastAsia"/>
          <w:u w:val="single"/>
          <w:lang w:val="fr-FR" w:eastAsia="zh-CN"/>
        </w:rPr>
        <w:t>Granularity of HARQ timing indication</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It was agreed that timing between PDSCH and corresponding HARQ-ACK (K1), and the timing between UL grant and corresnponding PUSCH (K2) is indicated in the DL/UL grant. However, the time granularity of K1 and K2 values has not been concluded, which has the linkage with the DL/UL processing time and the combination of DL/UL transmission durations. </w:t>
      </w:r>
      <w:r w:rsidRPr="0015502B">
        <w:rPr>
          <w:rFonts w:eastAsia="宋体"/>
          <w:lang w:val="fr-FR" w:eastAsia="zh-CN"/>
        </w:rPr>
        <w:t>W</w:t>
      </w:r>
      <w:r w:rsidRPr="0015502B">
        <w:rPr>
          <w:rFonts w:eastAsia="宋体" w:hint="eastAsia"/>
          <w:lang w:val="fr-FR" w:eastAsia="zh-CN"/>
        </w:rPr>
        <w:t>here the transmission duration may depend on the applied SCS and the numero of OFDM symbols in within a TTI. Following cases can be evisioned.</w:t>
      </w:r>
    </w:p>
    <w:p w:rsidR="00574750" w:rsidRPr="0015502B" w:rsidRDefault="00574750" w:rsidP="00574750">
      <w:pPr>
        <w:pStyle w:val="a0"/>
        <w:numPr>
          <w:ilvl w:val="0"/>
          <w:numId w:val="35"/>
        </w:numPr>
        <w:rPr>
          <w:rFonts w:eastAsia="宋体"/>
          <w:lang w:val="fr-FR" w:eastAsia="zh-CN"/>
        </w:rPr>
      </w:pPr>
      <w:r w:rsidRPr="0015502B">
        <w:rPr>
          <w:rFonts w:eastAsia="宋体" w:hint="eastAsia"/>
          <w:lang w:val="fr-FR" w:eastAsia="zh-CN"/>
        </w:rPr>
        <w:t>K1:</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K1, i.e. time offset between PDSCH and corresponding HARQ-ACK, includes the UE processing time  for PDCCH/PDSCH and processing time for HARQ-ACK preparation, if we assume UE TA=0. </w:t>
      </w:r>
      <w:r w:rsidRPr="0015502B">
        <w:rPr>
          <w:rFonts w:eastAsia="宋体"/>
          <w:lang w:val="fr-FR" w:eastAsia="zh-CN"/>
        </w:rPr>
        <w:t>A</w:t>
      </w:r>
      <w:r w:rsidRPr="0015502B">
        <w:rPr>
          <w:rFonts w:eastAsia="宋体" w:hint="eastAsia"/>
          <w:lang w:val="fr-FR" w:eastAsia="zh-CN"/>
        </w:rPr>
        <w:t xml:space="preserve">s the PDCCH/PDSCH processing time will be the major component of K1, it is straightforward to define the granularity of K1 value using DL transmission unit, which means the SCS and TTI length (i.e. the number of OFDM symbols within the DL TTI) </w:t>
      </w:r>
      <w:r>
        <w:rPr>
          <w:rFonts w:eastAsia="宋体" w:hint="eastAsia"/>
          <w:lang w:val="fr-FR" w:eastAsia="zh-CN"/>
        </w:rPr>
        <w:t>are</w:t>
      </w:r>
      <w:r w:rsidRPr="0015502B">
        <w:rPr>
          <w:rFonts w:eastAsia="宋体" w:hint="eastAsia"/>
          <w:lang w:val="fr-FR" w:eastAsia="zh-CN"/>
        </w:rPr>
        <w:t xml:space="preserve"> used to determine the K1 value.</w:t>
      </w:r>
    </w:p>
    <w:p w:rsidR="00574750" w:rsidRPr="0015502B" w:rsidRDefault="00574750" w:rsidP="00574750">
      <w:pPr>
        <w:pStyle w:val="a0"/>
        <w:numPr>
          <w:ilvl w:val="0"/>
          <w:numId w:val="35"/>
        </w:numPr>
        <w:rPr>
          <w:rFonts w:eastAsia="宋体"/>
          <w:lang w:val="fr-FR" w:eastAsia="zh-CN"/>
        </w:rPr>
      </w:pPr>
      <w:r w:rsidRPr="0015502B">
        <w:rPr>
          <w:rFonts w:eastAsia="宋体"/>
          <w:lang w:val="fr-FR" w:eastAsia="zh-CN"/>
        </w:rPr>
        <w:t>K2:</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K2, i.e. time offset between PDCCH UL grant and the corresponding </w:t>
      </w:r>
      <w:r>
        <w:rPr>
          <w:rFonts w:eastAsia="宋体" w:hint="eastAsia"/>
          <w:lang w:val="fr-FR" w:eastAsia="zh-CN"/>
        </w:rPr>
        <w:t>PUSCH</w:t>
      </w:r>
      <w:r w:rsidRPr="0015502B">
        <w:rPr>
          <w:rFonts w:eastAsia="宋体" w:hint="eastAsia"/>
          <w:lang w:val="fr-FR" w:eastAsia="zh-CN"/>
        </w:rPr>
        <w:t xml:space="preserve">, including the UE processing time for PDCCH and processing time for PUSCH preparation, if we assume UE TA=0. As the PUSCH processing time will be the major component of K2, it is straighforward to define the granularity of K2 value using the UL transmission unit, which means the SCS and TTI length (i.e. the number of OFDM symbols within the UL TTI) </w:t>
      </w:r>
      <w:r>
        <w:rPr>
          <w:rFonts w:eastAsia="宋体" w:hint="eastAsia"/>
          <w:lang w:val="fr-FR" w:eastAsia="zh-CN"/>
        </w:rPr>
        <w:t>are</w:t>
      </w:r>
      <w:r w:rsidRPr="0015502B">
        <w:rPr>
          <w:rFonts w:eastAsia="宋体" w:hint="eastAsia"/>
          <w:lang w:val="fr-FR" w:eastAsia="zh-CN"/>
        </w:rPr>
        <w:t xml:space="preserve"> used to determine the K2 value. </w:t>
      </w:r>
    </w:p>
    <w:p w:rsidR="00574750" w:rsidRPr="0015502B" w:rsidRDefault="00574750" w:rsidP="00574750">
      <w:pPr>
        <w:pStyle w:val="a0"/>
        <w:rPr>
          <w:rFonts w:eastAsia="宋体"/>
          <w:lang w:val="fr-FR" w:eastAsia="zh-CN"/>
        </w:rPr>
      </w:pPr>
      <w:r w:rsidRPr="0015502B">
        <w:rPr>
          <w:rFonts w:eastAsia="宋体" w:hint="eastAsia"/>
          <w:lang w:val="fr-FR" w:eastAsia="zh-CN"/>
        </w:rPr>
        <w:lastRenderedPageBreak/>
        <w:t xml:space="preserve">As an alternative solution to the above, if some additional flexibility is necessary, e.g. to support dynamic variable change of DL and UL transmisison unit, the time granularity of K1 and K2 can be configured by gNB. </w:t>
      </w:r>
    </w:p>
    <w:p w:rsidR="00574750" w:rsidRPr="00CA1398" w:rsidRDefault="00574750" w:rsidP="00574750">
      <w:pPr>
        <w:pStyle w:val="a0"/>
        <w:spacing w:beforeLines="50" w:before="120" w:afterLines="50"/>
        <w:rPr>
          <w:rFonts w:eastAsia="宋体"/>
          <w:b/>
          <w:i/>
          <w:lang w:eastAsia="zh-CN"/>
        </w:rPr>
      </w:pPr>
      <w:r w:rsidRPr="00CA1398">
        <w:rPr>
          <w:rFonts w:eastAsia="宋体" w:hint="eastAsia"/>
          <w:b/>
          <w:i/>
          <w:lang w:eastAsia="zh-CN"/>
        </w:rPr>
        <w:t>Proposal</w:t>
      </w:r>
      <w:r w:rsidRPr="00CA1398">
        <w:rPr>
          <w:rFonts w:eastAsia="宋体"/>
          <w:b/>
          <w:i/>
          <w:lang w:eastAsia="zh-CN"/>
        </w:rPr>
        <w:t> </w:t>
      </w:r>
      <w:r>
        <w:rPr>
          <w:rFonts w:eastAsia="宋体"/>
          <w:b/>
          <w:i/>
          <w:lang w:eastAsia="zh-CN"/>
        </w:rPr>
        <w:t>2</w:t>
      </w:r>
      <w:r w:rsidRPr="00CA1398">
        <w:rPr>
          <w:rFonts w:eastAsia="宋体" w:hint="eastAsia"/>
          <w:b/>
          <w:i/>
          <w:lang w:eastAsia="zh-CN"/>
        </w:rPr>
        <w:t>:</w:t>
      </w:r>
    </w:p>
    <w:p w:rsidR="00574750" w:rsidRPr="00CA1398" w:rsidRDefault="00574750" w:rsidP="00574750">
      <w:pPr>
        <w:pStyle w:val="a0"/>
        <w:numPr>
          <w:ilvl w:val="0"/>
          <w:numId w:val="34"/>
        </w:numPr>
        <w:spacing w:beforeLines="50" w:before="120" w:afterLines="50"/>
        <w:ind w:left="737" w:hanging="340"/>
        <w:rPr>
          <w:rFonts w:eastAsia="宋体"/>
          <w:i/>
          <w:lang w:eastAsia="zh-CN"/>
        </w:rPr>
      </w:pPr>
      <w:r w:rsidRPr="00CA1398">
        <w:rPr>
          <w:rFonts w:eastAsia="宋体" w:hint="eastAsia"/>
          <w:i/>
          <w:lang w:eastAsia="zh-CN"/>
        </w:rPr>
        <w:t>Two options can be considered to define the granularity of K1 and K2 for timing determination</w:t>
      </w:r>
      <w:r>
        <w:rPr>
          <w:rFonts w:eastAsia="宋体" w:hint="eastAsia"/>
          <w:i/>
          <w:lang w:eastAsia="zh-CN"/>
        </w:rPr>
        <w:t>.</w:t>
      </w:r>
    </w:p>
    <w:p w:rsidR="00574750" w:rsidRPr="00CA1398" w:rsidRDefault="00574750" w:rsidP="00574750">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w:t>
      </w:r>
      <w:r>
        <w:rPr>
          <w:rFonts w:eastAsia="宋体" w:hint="eastAsia"/>
          <w:i/>
          <w:lang w:eastAsia="zh-CN"/>
        </w:rPr>
        <w:t xml:space="preserve"> </w:t>
      </w:r>
      <w:r w:rsidRPr="00CA1398">
        <w:rPr>
          <w:rFonts w:eastAsia="宋体" w:hint="eastAsia"/>
          <w:i/>
          <w:lang w:eastAsia="zh-CN"/>
        </w:rPr>
        <w:t>1</w:t>
      </w:r>
      <w:r w:rsidRPr="00CA1398">
        <w:rPr>
          <w:rFonts w:eastAsia="宋体"/>
          <w:i/>
          <w:lang w:eastAsia="zh-CN"/>
        </w:rPr>
        <w:t>:</w:t>
      </w:r>
      <w:r w:rsidRPr="00CA1398">
        <w:rPr>
          <w:rFonts w:eastAsia="宋体" w:hint="eastAsia"/>
          <w:i/>
          <w:lang w:eastAsia="zh-CN"/>
        </w:rPr>
        <w:t xml:space="preserve">Granularity of K1 follows </w:t>
      </w:r>
      <w:r>
        <w:rPr>
          <w:rFonts w:eastAsia="宋体" w:hint="eastAsia"/>
          <w:i/>
          <w:lang w:eastAsia="zh-CN"/>
        </w:rPr>
        <w:t>DL transmission duration</w:t>
      </w:r>
      <w:r w:rsidRPr="00CA1398">
        <w:rPr>
          <w:rFonts w:eastAsia="宋体" w:hint="eastAsia"/>
          <w:i/>
          <w:lang w:eastAsia="zh-CN"/>
        </w:rPr>
        <w:t>, granularity fo</w:t>
      </w:r>
      <w:r>
        <w:rPr>
          <w:rFonts w:eastAsia="宋体" w:hint="eastAsia"/>
          <w:i/>
          <w:lang w:eastAsia="zh-CN"/>
        </w:rPr>
        <w:t>r K2 follows UL transmis</w:t>
      </w:r>
      <w:r w:rsidRPr="00CA1398">
        <w:rPr>
          <w:rFonts w:eastAsia="宋体" w:hint="eastAsia"/>
          <w:i/>
          <w:lang w:eastAsia="zh-CN"/>
        </w:rPr>
        <w:t>s</w:t>
      </w:r>
      <w:r>
        <w:rPr>
          <w:rFonts w:eastAsia="宋体" w:hint="eastAsia"/>
          <w:i/>
          <w:lang w:eastAsia="zh-CN"/>
        </w:rPr>
        <w:t>i</w:t>
      </w:r>
      <w:r w:rsidRPr="00CA1398">
        <w:rPr>
          <w:rFonts w:eastAsia="宋体" w:hint="eastAsia"/>
          <w:i/>
          <w:lang w:eastAsia="zh-CN"/>
        </w:rPr>
        <w:t>on duration</w:t>
      </w:r>
      <w:r>
        <w:rPr>
          <w:rFonts w:eastAsia="宋体" w:hint="eastAsia"/>
          <w:i/>
          <w:lang w:eastAsia="zh-CN"/>
        </w:rPr>
        <w:t>.</w:t>
      </w:r>
    </w:p>
    <w:p w:rsidR="00574750" w:rsidRPr="00CA1398" w:rsidRDefault="00574750" w:rsidP="00574750">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 2: Granularity of K1</w:t>
      </w:r>
      <w:r>
        <w:rPr>
          <w:rFonts w:eastAsia="宋体" w:hint="eastAsia"/>
          <w:i/>
          <w:lang w:eastAsia="zh-CN"/>
        </w:rPr>
        <w:t xml:space="preserve"> and K2 are configured by gNB</w:t>
      </w:r>
      <w:r w:rsidRPr="00CA1398">
        <w:rPr>
          <w:rFonts w:eastAsia="宋体" w:hint="eastAsia"/>
          <w:i/>
          <w:lang w:eastAsia="zh-CN"/>
        </w:rPr>
        <w:t xml:space="preserve">. </w:t>
      </w:r>
    </w:p>
    <w:p w:rsidR="00574750" w:rsidRPr="0015502B" w:rsidRDefault="00574750" w:rsidP="00574750">
      <w:pPr>
        <w:pStyle w:val="a0"/>
        <w:rPr>
          <w:rFonts w:eastAsia="宋体"/>
          <w:u w:val="single"/>
          <w:lang w:eastAsia="zh-CN"/>
        </w:rPr>
      </w:pPr>
    </w:p>
    <w:p w:rsidR="00574750" w:rsidRPr="0015502B" w:rsidRDefault="00574750" w:rsidP="00574750">
      <w:pPr>
        <w:pStyle w:val="a0"/>
        <w:rPr>
          <w:rFonts w:eastAsia="宋体"/>
          <w:u w:val="single"/>
          <w:lang w:val="fr-FR" w:eastAsia="zh-CN"/>
        </w:rPr>
      </w:pPr>
      <w:r w:rsidRPr="0015502B">
        <w:rPr>
          <w:rFonts w:eastAsia="宋体" w:hint="eastAsia"/>
          <w:u w:val="single"/>
          <w:lang w:val="fr-FR" w:eastAsia="zh-CN"/>
        </w:rPr>
        <w:t>HARQ timing for traditional FDD and semi-static TDD operation</w:t>
      </w:r>
    </w:p>
    <w:p w:rsidR="00574750" w:rsidRPr="0015502B" w:rsidRDefault="00574750" w:rsidP="00574750">
      <w:pPr>
        <w:pStyle w:val="a0"/>
        <w:rPr>
          <w:rFonts w:eastAsia="宋体"/>
          <w:lang w:val="fr-FR" w:eastAsia="zh-CN"/>
        </w:rPr>
      </w:pPr>
      <w:r w:rsidRPr="0015502B">
        <w:rPr>
          <w:rFonts w:eastAsia="宋体" w:hint="eastAsia"/>
          <w:lang w:val="fr-FR" w:eastAsia="zh-CN"/>
        </w:rPr>
        <w:t>It was agreed that NR support</w:t>
      </w:r>
      <w:r>
        <w:rPr>
          <w:rFonts w:eastAsia="宋体" w:hint="eastAsia"/>
          <w:lang w:val="fr-FR" w:eastAsia="zh-CN"/>
        </w:rPr>
        <w:t>s</w:t>
      </w:r>
      <w:r w:rsidRPr="0015502B">
        <w:rPr>
          <w:rFonts w:eastAsia="宋体" w:hint="eastAsia"/>
          <w:lang w:val="fr-FR" w:eastAsia="zh-CN"/>
        </w:rPr>
        <w:t xml:space="preserve"> semi-static TDD operation where the DL/UL transmisison direction is configured by higher layers. One typical use case for semi-static TDD operation is the macro cell, since the dynamic TDD opearation is challenging due to significant cross-link interference. In this scenario, the DL/UL transmisison direction is rat</w:t>
      </w:r>
      <w:r>
        <w:rPr>
          <w:rFonts w:eastAsia="宋体" w:hint="eastAsia"/>
          <w:lang w:val="fr-FR" w:eastAsia="zh-CN"/>
        </w:rPr>
        <w:t>h</w:t>
      </w:r>
      <w:r w:rsidRPr="0015502B">
        <w:rPr>
          <w:rFonts w:eastAsia="宋体" w:hint="eastAsia"/>
          <w:lang w:val="fr-FR" w:eastAsia="zh-CN"/>
        </w:rPr>
        <w:t xml:space="preserve">er fixed similar as in LTE-TDD deployment, where the semi-static configuration is beneficial for UE power saving persepctive. Similarly, in traditional FDD macro cell deployment, the DL and UL transmission resource are fixed. </w:t>
      </w:r>
    </w:p>
    <w:p w:rsidR="00574750" w:rsidRPr="0015502B" w:rsidRDefault="00574750" w:rsidP="00574750">
      <w:pPr>
        <w:pStyle w:val="a0"/>
        <w:rPr>
          <w:rFonts w:eastAsia="宋体"/>
          <w:lang w:val="fr-FR" w:eastAsia="zh-CN"/>
        </w:rPr>
      </w:pPr>
      <w:r w:rsidRPr="0015502B">
        <w:rPr>
          <w:rFonts w:eastAsia="宋体" w:hint="eastAsia"/>
          <w:lang w:val="fr-FR" w:eastAsia="zh-CN"/>
        </w:rPr>
        <w:t xml:space="preserve">In both of the deployments above, not only the DL/UL transmisison resource are fixed, the DL/UL numerology  can also be fixed, furthermore, the transmission duration can be fixed as well if the network intends to use only slot based scheduling. In these deployoment sceanrios, the dynamic indication of HARQ/scheduling time does not seem necessary. </w:t>
      </w:r>
      <w:r w:rsidRPr="0015502B">
        <w:rPr>
          <w:rFonts w:eastAsia="宋体"/>
          <w:lang w:val="fr-FR" w:eastAsia="zh-CN"/>
        </w:rPr>
        <w:t>T</w:t>
      </w:r>
      <w:r w:rsidRPr="0015502B">
        <w:rPr>
          <w:rFonts w:eastAsia="宋体" w:hint="eastAsia"/>
          <w:lang w:val="fr-FR" w:eastAsia="zh-CN"/>
        </w:rPr>
        <w:t xml:space="preserve">herefore it does not make sense to always mandate the inclusion of DCI contents for K1 and/or K2 indication. Alternatively, the HARQ/scheduling timing can be configured by higher layer, for examle, the RRC can configure the number of maximum HARQ process number, as well as the HARQ/scheduling delay for each HARQ processes. </w:t>
      </w:r>
      <w:r w:rsidRPr="0015502B">
        <w:rPr>
          <w:rFonts w:eastAsia="宋体"/>
          <w:lang w:val="fr-FR" w:eastAsia="zh-CN"/>
        </w:rPr>
        <w:t>T</w:t>
      </w:r>
      <w:r w:rsidRPr="0015502B">
        <w:rPr>
          <w:rFonts w:eastAsia="宋体" w:hint="eastAsia"/>
          <w:lang w:val="fr-FR" w:eastAsia="zh-CN"/>
        </w:rPr>
        <w:t>o support this alternative, further discussion is needed on whether the higher layer configured HARQ/scheduling delay is depend</w:t>
      </w:r>
      <w:r>
        <w:rPr>
          <w:rFonts w:eastAsia="宋体" w:hint="eastAsia"/>
          <w:lang w:val="fr-FR" w:eastAsia="zh-CN"/>
        </w:rPr>
        <w:t>e</w:t>
      </w:r>
      <w:r w:rsidRPr="0015502B">
        <w:rPr>
          <w:rFonts w:eastAsia="宋体" w:hint="eastAsia"/>
          <w:lang w:val="fr-FR" w:eastAsia="zh-CN"/>
        </w:rPr>
        <w:t xml:space="preserve">nt or agnostic on the semi-static configured DL/UL transmission durations. </w:t>
      </w:r>
    </w:p>
    <w:p w:rsidR="00574750" w:rsidRDefault="00574750" w:rsidP="00574750">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Pr>
          <w:rFonts w:eastAsia="宋体"/>
          <w:b/>
          <w:i/>
          <w:lang w:eastAsia="zh-CN"/>
        </w:rPr>
        <w:t>3</w:t>
      </w:r>
      <w:r w:rsidRPr="0035461E">
        <w:rPr>
          <w:rFonts w:eastAsia="宋体" w:hint="eastAsia"/>
          <w:b/>
          <w:i/>
          <w:lang w:eastAsia="zh-CN"/>
        </w:rPr>
        <w:t xml:space="preserve">: </w:t>
      </w:r>
    </w:p>
    <w:p w:rsidR="00574750" w:rsidRPr="0035461E" w:rsidRDefault="00574750" w:rsidP="00574750">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050DE0" w:rsidRPr="00574750" w:rsidRDefault="00050DE0" w:rsidP="00050DE0">
      <w:pPr>
        <w:pStyle w:val="a0"/>
        <w:rPr>
          <w:lang w:eastAsia="en-GB"/>
        </w:rPr>
      </w:pP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2A34CE" w:rsidRDefault="004407AC" w:rsidP="00172427">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w:t>
      </w:r>
      <w:r w:rsidR="004E71B8">
        <w:rPr>
          <w:rFonts w:ascii="Times New Roman" w:hAnsi="Times New Roman" w:cs="Times New Roman"/>
          <w:sz w:val="20"/>
          <w:szCs w:val="20"/>
        </w:rPr>
        <w:t xml:space="preserve"> share our view on</w:t>
      </w:r>
      <w:r w:rsidRPr="004407AC">
        <w:rPr>
          <w:rFonts w:ascii="Times New Roman" w:hAnsi="Times New Roman" w:cs="Times New Roman" w:hint="eastAsia"/>
          <w:sz w:val="20"/>
          <w:szCs w:val="20"/>
        </w:rPr>
        <w:t xml:space="preserve"> </w:t>
      </w:r>
      <w:r w:rsidR="004E71B8" w:rsidRPr="004E71B8">
        <w:rPr>
          <w:rFonts w:ascii="Times New Roman" w:hAnsi="Times New Roman" w:cs="Times New Roman"/>
          <w:sz w:val="20"/>
          <w:szCs w:val="20"/>
        </w:rPr>
        <w:t>UE processing time and HARQ timing</w:t>
      </w:r>
      <w:r w:rsidR="004E71B8">
        <w:rPr>
          <w:rFonts w:ascii="Times New Roman" w:hAnsi="Times New Roman" w:cs="Times New Roman"/>
          <w:sz w:val="20"/>
          <w:szCs w:val="20"/>
        </w:rPr>
        <w:t>. It is proposed that,</w:t>
      </w:r>
    </w:p>
    <w:p w:rsidR="004E71B8" w:rsidRPr="004E71B8" w:rsidRDefault="004E71B8" w:rsidP="00172427">
      <w:pPr>
        <w:pStyle w:val="HTML"/>
        <w:jc w:val="both"/>
        <w:rPr>
          <w:rFonts w:ascii="Times New Roman" w:hAnsi="Times New Roman" w:cs="Times New Roman"/>
          <w:sz w:val="20"/>
          <w:szCs w:val="20"/>
        </w:rPr>
      </w:pPr>
    </w:p>
    <w:p w:rsidR="004E71B8" w:rsidRPr="00574750" w:rsidRDefault="004E71B8" w:rsidP="004E71B8">
      <w:pPr>
        <w:pStyle w:val="a0"/>
        <w:rPr>
          <w:rFonts w:eastAsia="宋体"/>
          <w:b/>
          <w:i/>
          <w:szCs w:val="20"/>
        </w:rPr>
      </w:pPr>
      <w:r w:rsidRPr="00574750">
        <w:rPr>
          <w:rFonts w:eastAsia="宋体"/>
          <w:b/>
          <w:i/>
          <w:szCs w:val="20"/>
        </w:rPr>
        <w:t xml:space="preserve">Proposal 1: </w:t>
      </w:r>
    </w:p>
    <w:p w:rsidR="004E71B8" w:rsidRPr="00574750" w:rsidRDefault="004E71B8" w:rsidP="004E71B8">
      <w:pPr>
        <w:pStyle w:val="a0"/>
        <w:numPr>
          <w:ilvl w:val="0"/>
          <w:numId w:val="37"/>
        </w:numPr>
        <w:rPr>
          <w:szCs w:val="20"/>
          <w:lang w:eastAsia="zh-CN"/>
        </w:rPr>
      </w:pPr>
      <w:r w:rsidRPr="00574750">
        <w:rPr>
          <w:szCs w:val="20"/>
        </w:rPr>
        <w:t>The candidate factors when determining the UE processing times (N1,N2) includes the ‘</w:t>
      </w:r>
      <w:r w:rsidRPr="00574750">
        <w:rPr>
          <w:i/>
          <w:szCs w:val="20"/>
        </w:rPr>
        <w:t xml:space="preserve">percentage ratio of the </w:t>
      </w:r>
      <w:r w:rsidRPr="00574750">
        <w:rPr>
          <w:rFonts w:eastAsia="宋体"/>
          <w:i/>
          <w:szCs w:val="20"/>
        </w:rPr>
        <w:t xml:space="preserve">number of information bits to the </w:t>
      </w:r>
      <w:r w:rsidRPr="00574750">
        <w:rPr>
          <w:rFonts w:ascii="Times" w:eastAsia="Batang" w:hAnsi="Times"/>
          <w:i/>
          <w:lang w:val="en-GB"/>
        </w:rPr>
        <w:t>m</w:t>
      </w:r>
      <w:r w:rsidRPr="00574750">
        <w:rPr>
          <w:rFonts w:eastAsia="宋体"/>
          <w:i/>
          <w:szCs w:val="20"/>
        </w:rPr>
        <w:t>aximum total number of information bits among transport blocks per slot across component carriers</w:t>
      </w:r>
      <w:r w:rsidRPr="00574750">
        <w:rPr>
          <w:szCs w:val="20"/>
        </w:rPr>
        <w:t>’.</w:t>
      </w:r>
    </w:p>
    <w:p w:rsidR="004E71B8" w:rsidRPr="00CA1398" w:rsidRDefault="004E71B8" w:rsidP="004E71B8">
      <w:pPr>
        <w:pStyle w:val="a0"/>
        <w:spacing w:beforeLines="50" w:before="120" w:afterLines="50"/>
        <w:rPr>
          <w:rFonts w:eastAsia="宋体"/>
          <w:b/>
          <w:i/>
          <w:lang w:eastAsia="zh-CN"/>
        </w:rPr>
      </w:pPr>
      <w:r w:rsidRPr="00CA1398">
        <w:rPr>
          <w:rFonts w:eastAsia="宋体" w:hint="eastAsia"/>
          <w:b/>
          <w:i/>
          <w:lang w:eastAsia="zh-CN"/>
        </w:rPr>
        <w:t>Proposal</w:t>
      </w:r>
      <w:r w:rsidRPr="00CA1398">
        <w:rPr>
          <w:rFonts w:eastAsia="宋体"/>
          <w:b/>
          <w:i/>
          <w:lang w:eastAsia="zh-CN"/>
        </w:rPr>
        <w:t> </w:t>
      </w:r>
      <w:r>
        <w:rPr>
          <w:rFonts w:eastAsia="宋体"/>
          <w:b/>
          <w:i/>
          <w:lang w:eastAsia="zh-CN"/>
        </w:rPr>
        <w:t>2</w:t>
      </w:r>
      <w:r w:rsidRPr="00CA1398">
        <w:rPr>
          <w:rFonts w:eastAsia="宋体" w:hint="eastAsia"/>
          <w:b/>
          <w:i/>
          <w:lang w:eastAsia="zh-CN"/>
        </w:rPr>
        <w:t>:</w:t>
      </w:r>
    </w:p>
    <w:p w:rsidR="004E71B8" w:rsidRPr="00CA1398" w:rsidRDefault="004E71B8" w:rsidP="004E71B8">
      <w:pPr>
        <w:pStyle w:val="a0"/>
        <w:numPr>
          <w:ilvl w:val="0"/>
          <w:numId w:val="34"/>
        </w:numPr>
        <w:spacing w:beforeLines="50" w:before="120" w:afterLines="50"/>
        <w:ind w:left="737" w:hanging="340"/>
        <w:rPr>
          <w:rFonts w:eastAsia="宋体"/>
          <w:i/>
          <w:lang w:eastAsia="zh-CN"/>
        </w:rPr>
      </w:pPr>
      <w:r w:rsidRPr="00CA1398">
        <w:rPr>
          <w:rFonts w:eastAsia="宋体" w:hint="eastAsia"/>
          <w:i/>
          <w:lang w:eastAsia="zh-CN"/>
        </w:rPr>
        <w:t>Two options can be considered to define the granularity of K1 and K2 for timing determination</w:t>
      </w:r>
      <w:r>
        <w:rPr>
          <w:rFonts w:eastAsia="宋体" w:hint="eastAsia"/>
          <w:i/>
          <w:lang w:eastAsia="zh-CN"/>
        </w:rPr>
        <w:t>.</w:t>
      </w:r>
    </w:p>
    <w:p w:rsidR="004E71B8" w:rsidRPr="00CA1398" w:rsidRDefault="004E71B8" w:rsidP="004E71B8">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w:t>
      </w:r>
      <w:r>
        <w:rPr>
          <w:rFonts w:eastAsia="宋体" w:hint="eastAsia"/>
          <w:i/>
          <w:lang w:eastAsia="zh-CN"/>
        </w:rPr>
        <w:t xml:space="preserve"> </w:t>
      </w:r>
      <w:r w:rsidRPr="00CA1398">
        <w:rPr>
          <w:rFonts w:eastAsia="宋体" w:hint="eastAsia"/>
          <w:i/>
          <w:lang w:eastAsia="zh-CN"/>
        </w:rPr>
        <w:t>1</w:t>
      </w:r>
      <w:r w:rsidRPr="00CA1398">
        <w:rPr>
          <w:rFonts w:eastAsia="宋体"/>
          <w:i/>
          <w:lang w:eastAsia="zh-CN"/>
        </w:rPr>
        <w:t>:</w:t>
      </w:r>
      <w:r w:rsidRPr="00CA1398">
        <w:rPr>
          <w:rFonts w:eastAsia="宋体" w:hint="eastAsia"/>
          <w:i/>
          <w:lang w:eastAsia="zh-CN"/>
        </w:rPr>
        <w:t xml:space="preserve">Granularity of K1 follows </w:t>
      </w:r>
      <w:r>
        <w:rPr>
          <w:rFonts w:eastAsia="宋体" w:hint="eastAsia"/>
          <w:i/>
          <w:lang w:eastAsia="zh-CN"/>
        </w:rPr>
        <w:t>DL transmission duration</w:t>
      </w:r>
      <w:r w:rsidRPr="00CA1398">
        <w:rPr>
          <w:rFonts w:eastAsia="宋体" w:hint="eastAsia"/>
          <w:i/>
          <w:lang w:eastAsia="zh-CN"/>
        </w:rPr>
        <w:t>, granularity fo</w:t>
      </w:r>
      <w:r>
        <w:rPr>
          <w:rFonts w:eastAsia="宋体" w:hint="eastAsia"/>
          <w:i/>
          <w:lang w:eastAsia="zh-CN"/>
        </w:rPr>
        <w:t>r K2 follows UL transmis</w:t>
      </w:r>
      <w:r w:rsidRPr="00CA1398">
        <w:rPr>
          <w:rFonts w:eastAsia="宋体" w:hint="eastAsia"/>
          <w:i/>
          <w:lang w:eastAsia="zh-CN"/>
        </w:rPr>
        <w:t>s</w:t>
      </w:r>
      <w:r>
        <w:rPr>
          <w:rFonts w:eastAsia="宋体" w:hint="eastAsia"/>
          <w:i/>
          <w:lang w:eastAsia="zh-CN"/>
        </w:rPr>
        <w:t>i</w:t>
      </w:r>
      <w:r w:rsidRPr="00CA1398">
        <w:rPr>
          <w:rFonts w:eastAsia="宋体" w:hint="eastAsia"/>
          <w:i/>
          <w:lang w:eastAsia="zh-CN"/>
        </w:rPr>
        <w:t>on duration</w:t>
      </w:r>
      <w:r>
        <w:rPr>
          <w:rFonts w:eastAsia="宋体" w:hint="eastAsia"/>
          <w:i/>
          <w:lang w:eastAsia="zh-CN"/>
        </w:rPr>
        <w:t>.</w:t>
      </w:r>
    </w:p>
    <w:p w:rsidR="004E71B8" w:rsidRPr="00CA1398" w:rsidRDefault="004E71B8" w:rsidP="004E71B8">
      <w:pPr>
        <w:pStyle w:val="a0"/>
        <w:numPr>
          <w:ilvl w:val="0"/>
          <w:numId w:val="36"/>
        </w:numPr>
        <w:spacing w:beforeLines="50" w:before="120" w:afterLines="50"/>
        <w:rPr>
          <w:rFonts w:eastAsia="宋体"/>
          <w:i/>
          <w:lang w:eastAsia="zh-CN"/>
        </w:rPr>
      </w:pPr>
      <w:r w:rsidRPr="00CA1398">
        <w:rPr>
          <w:rFonts w:eastAsia="宋体"/>
          <w:i/>
          <w:lang w:eastAsia="zh-CN"/>
        </w:rPr>
        <w:t>O</w:t>
      </w:r>
      <w:r w:rsidRPr="00CA1398">
        <w:rPr>
          <w:rFonts w:eastAsia="宋体" w:hint="eastAsia"/>
          <w:i/>
          <w:lang w:eastAsia="zh-CN"/>
        </w:rPr>
        <w:t>ption 2: Granularity of K1</w:t>
      </w:r>
      <w:r>
        <w:rPr>
          <w:rFonts w:eastAsia="宋体" w:hint="eastAsia"/>
          <w:i/>
          <w:lang w:eastAsia="zh-CN"/>
        </w:rPr>
        <w:t xml:space="preserve"> and K2 are configured by gNB</w:t>
      </w:r>
      <w:r w:rsidRPr="00CA1398">
        <w:rPr>
          <w:rFonts w:eastAsia="宋体" w:hint="eastAsia"/>
          <w:i/>
          <w:lang w:eastAsia="zh-CN"/>
        </w:rPr>
        <w:t xml:space="preserve">. </w:t>
      </w:r>
    </w:p>
    <w:p w:rsidR="004E71B8" w:rsidRDefault="004E71B8" w:rsidP="004E71B8">
      <w:pPr>
        <w:pStyle w:val="a0"/>
        <w:spacing w:beforeLines="50" w:before="120" w:afterLines="50"/>
        <w:rPr>
          <w:rFonts w:eastAsia="宋体"/>
          <w:b/>
          <w:i/>
          <w:lang w:eastAsia="zh-CN"/>
        </w:rPr>
      </w:pPr>
      <w:r w:rsidRPr="0035461E">
        <w:rPr>
          <w:rFonts w:eastAsia="宋体" w:hint="eastAsia"/>
          <w:b/>
          <w:i/>
          <w:lang w:eastAsia="zh-CN"/>
        </w:rPr>
        <w:t>Proposal</w:t>
      </w:r>
      <w:r w:rsidRPr="0035461E">
        <w:rPr>
          <w:rFonts w:eastAsia="宋体"/>
          <w:b/>
          <w:i/>
          <w:lang w:eastAsia="zh-CN"/>
        </w:rPr>
        <w:t> </w:t>
      </w:r>
      <w:r>
        <w:rPr>
          <w:rFonts w:eastAsia="宋体"/>
          <w:b/>
          <w:i/>
          <w:lang w:eastAsia="zh-CN"/>
        </w:rPr>
        <w:t>3</w:t>
      </w:r>
      <w:r w:rsidRPr="0035461E">
        <w:rPr>
          <w:rFonts w:eastAsia="宋体" w:hint="eastAsia"/>
          <w:b/>
          <w:i/>
          <w:lang w:eastAsia="zh-CN"/>
        </w:rPr>
        <w:t xml:space="preserve">: </w:t>
      </w:r>
    </w:p>
    <w:p w:rsidR="004E71B8" w:rsidRPr="0035461E" w:rsidRDefault="004E71B8" w:rsidP="004E71B8">
      <w:pPr>
        <w:pStyle w:val="a0"/>
        <w:numPr>
          <w:ilvl w:val="0"/>
          <w:numId w:val="34"/>
        </w:numPr>
        <w:spacing w:beforeLines="50" w:before="120" w:afterLines="50"/>
        <w:ind w:left="737" w:hanging="340"/>
        <w:rPr>
          <w:rFonts w:eastAsia="宋体"/>
          <w:i/>
          <w:lang w:eastAsia="zh-CN"/>
        </w:rPr>
      </w:pPr>
      <w:r w:rsidRPr="0035461E">
        <w:rPr>
          <w:rFonts w:eastAsia="宋体" w:hint="eastAsia"/>
          <w:i/>
          <w:lang w:eastAsia="zh-CN"/>
        </w:rPr>
        <w:t xml:space="preserve">NR supports </w:t>
      </w:r>
      <w:r>
        <w:rPr>
          <w:rFonts w:eastAsia="宋体" w:hint="eastAsia"/>
          <w:i/>
          <w:lang w:eastAsia="zh-CN"/>
        </w:rPr>
        <w:t xml:space="preserve">an option where the HARQ/scheduling timing is not dynamically indicated, at least for semi-static TDD and traditional FDD </w:t>
      </w:r>
      <w:r>
        <w:rPr>
          <w:rFonts w:eastAsia="宋体"/>
          <w:i/>
          <w:lang w:eastAsia="zh-CN"/>
        </w:rPr>
        <w:t>operation</w:t>
      </w:r>
      <w:r>
        <w:rPr>
          <w:rFonts w:eastAsia="宋体" w:hint="eastAsia"/>
          <w:i/>
          <w:lang w:eastAsia="zh-CN"/>
        </w:rPr>
        <w:t xml:space="preserve">. </w:t>
      </w:r>
    </w:p>
    <w:p w:rsidR="004057CD" w:rsidRDefault="004E71B8" w:rsidP="00172427">
      <w:pPr>
        <w:spacing w:beforeLines="50" w:before="120" w:afterLines="50" w:after="120"/>
        <w:rPr>
          <w:rFonts w:eastAsia="宋体"/>
          <w:lang w:eastAsia="zh-CN"/>
        </w:rPr>
      </w:pPr>
      <w:r>
        <w:rPr>
          <w:rFonts w:eastAsia="宋体"/>
          <w:lang w:eastAsia="zh-CN"/>
        </w:rPr>
        <w:t>And further observations are as follows,</w:t>
      </w:r>
    </w:p>
    <w:p w:rsidR="004E71B8" w:rsidRPr="004E71B8" w:rsidRDefault="004E71B8" w:rsidP="00172427">
      <w:pPr>
        <w:spacing w:beforeLines="50" w:before="120" w:afterLines="50" w:after="120"/>
        <w:rPr>
          <w:rFonts w:eastAsia="宋体"/>
          <w:b/>
          <w:i/>
          <w:lang w:eastAsia="zh-CN"/>
        </w:rPr>
      </w:pPr>
      <w:r w:rsidRPr="004E71B8">
        <w:rPr>
          <w:rFonts w:eastAsia="宋体"/>
          <w:b/>
          <w:i/>
          <w:lang w:eastAsia="zh-CN"/>
        </w:rPr>
        <w:t>Observation 1:</w:t>
      </w:r>
    </w:p>
    <w:p w:rsidR="004E71B8" w:rsidRDefault="004E71B8" w:rsidP="004E71B8">
      <w:pPr>
        <w:pStyle w:val="a0"/>
        <w:numPr>
          <w:ilvl w:val="0"/>
          <w:numId w:val="37"/>
        </w:numPr>
        <w:rPr>
          <w:szCs w:val="20"/>
        </w:rPr>
      </w:pPr>
      <w:r w:rsidRPr="004E71B8">
        <w:rPr>
          <w:szCs w:val="20"/>
        </w:rPr>
        <w:t>NR can consider the following self-contained operations</w:t>
      </w:r>
      <w:r>
        <w:rPr>
          <w:szCs w:val="20"/>
        </w:rPr>
        <w:t>,</w:t>
      </w:r>
    </w:p>
    <w:p w:rsidR="004E71B8" w:rsidRDefault="004E71B8" w:rsidP="004E71B8">
      <w:pPr>
        <w:pStyle w:val="a0"/>
        <w:numPr>
          <w:ilvl w:val="1"/>
          <w:numId w:val="40"/>
        </w:numPr>
        <w:rPr>
          <w:rFonts w:eastAsia="宋体"/>
          <w:lang w:eastAsia="zh-CN"/>
        </w:rPr>
      </w:pPr>
      <w:r w:rsidRPr="00D450D9">
        <w:rPr>
          <w:rFonts w:eastAsia="宋体"/>
          <w:lang w:eastAsia="zh-CN"/>
        </w:rPr>
        <w:t>self-contained operation in a bi-directional slot with K1=0</w:t>
      </w:r>
    </w:p>
    <w:p w:rsidR="004E71B8" w:rsidRDefault="004E71B8" w:rsidP="004E71B8">
      <w:pPr>
        <w:pStyle w:val="a0"/>
        <w:numPr>
          <w:ilvl w:val="1"/>
          <w:numId w:val="40"/>
        </w:numPr>
        <w:rPr>
          <w:rFonts w:eastAsia="宋体"/>
          <w:lang w:eastAsia="zh-CN"/>
        </w:rPr>
      </w:pPr>
      <w:r w:rsidRPr="00D450D9">
        <w:rPr>
          <w:rFonts w:eastAsia="宋体"/>
          <w:lang w:eastAsia="zh-CN"/>
        </w:rPr>
        <w:t>self-contained operation in a bi-directional slot with K</w:t>
      </w:r>
      <w:r>
        <w:rPr>
          <w:rFonts w:eastAsia="宋体"/>
          <w:lang w:eastAsia="zh-CN"/>
        </w:rPr>
        <w:t>2</w:t>
      </w:r>
      <w:r w:rsidRPr="00D450D9">
        <w:rPr>
          <w:rFonts w:eastAsia="宋体"/>
          <w:lang w:eastAsia="zh-CN"/>
        </w:rPr>
        <w:t>=0</w:t>
      </w:r>
    </w:p>
    <w:p w:rsidR="004E71B8" w:rsidRDefault="004E71B8" w:rsidP="004E71B8">
      <w:pPr>
        <w:pStyle w:val="a0"/>
        <w:numPr>
          <w:ilvl w:val="1"/>
          <w:numId w:val="40"/>
        </w:numPr>
        <w:rPr>
          <w:rFonts w:eastAsia="宋体"/>
          <w:lang w:eastAsia="zh-CN"/>
        </w:rPr>
      </w:pPr>
      <w:r w:rsidRPr="00D450D9">
        <w:rPr>
          <w:rFonts w:eastAsia="宋体"/>
          <w:lang w:eastAsia="zh-CN"/>
        </w:rPr>
        <w:lastRenderedPageBreak/>
        <w:t>Immediate acknowledgement w/in next long uplink bursts</w:t>
      </w:r>
    </w:p>
    <w:p w:rsidR="004E71B8" w:rsidRPr="00D450D9" w:rsidRDefault="004E71B8" w:rsidP="004E71B8">
      <w:pPr>
        <w:pStyle w:val="a0"/>
        <w:numPr>
          <w:ilvl w:val="1"/>
          <w:numId w:val="40"/>
        </w:numPr>
        <w:rPr>
          <w:rFonts w:eastAsia="宋体"/>
          <w:lang w:eastAsia="zh-CN"/>
        </w:rPr>
      </w:pPr>
      <w:r w:rsidRPr="00D450D9">
        <w:rPr>
          <w:rFonts w:eastAsia="宋体"/>
          <w:lang w:eastAsia="zh-CN"/>
        </w:rPr>
        <w:t xml:space="preserve">Immediate acknowledgement w/in next long </w:t>
      </w:r>
      <w:r>
        <w:rPr>
          <w:rFonts w:eastAsia="宋体"/>
          <w:lang w:eastAsia="zh-CN"/>
        </w:rPr>
        <w:t>downlink</w:t>
      </w:r>
      <w:r w:rsidRPr="00D450D9">
        <w:rPr>
          <w:rFonts w:eastAsia="宋体"/>
          <w:lang w:eastAsia="zh-CN"/>
        </w:rPr>
        <w:t xml:space="preserve"> bursts</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4" w:name="OLE_LINK4"/>
      <w:r w:rsidRPr="00381267">
        <w:t>Chairman's Notes RAN1#</w:t>
      </w:r>
      <w:bookmarkEnd w:id="4"/>
      <w:r w:rsidRPr="00841B35">
        <w:rPr>
          <w:rFonts w:eastAsia="宋体" w:hint="eastAsia"/>
          <w:lang w:eastAsia="zh-CN"/>
        </w:rPr>
        <w:t xml:space="preserve"> </w:t>
      </w:r>
      <w:r w:rsidR="004057CD">
        <w:rPr>
          <w:rFonts w:eastAsia="宋体" w:hint="eastAsia"/>
          <w:lang w:eastAsia="zh-CN"/>
        </w:rPr>
        <w:t>90</w:t>
      </w:r>
      <w:r w:rsidRPr="00381267">
        <w:rPr>
          <w:rFonts w:eastAsia="宋体" w:cs="Arial" w:hint="eastAsia"/>
          <w:bCs/>
          <w:szCs w:val="20"/>
          <w:lang w:val="en-GB" w:eastAsia="zh-CN"/>
        </w:rPr>
        <w:t>.</w:t>
      </w:r>
    </w:p>
    <w:p w:rsidR="004E71B8" w:rsidRPr="004E71B8" w:rsidRDefault="004E71B8" w:rsidP="008E626A">
      <w:pPr>
        <w:pStyle w:val="a0"/>
        <w:numPr>
          <w:ilvl w:val="0"/>
          <w:numId w:val="11"/>
        </w:numPr>
        <w:jc w:val="left"/>
      </w:pPr>
      <w:r w:rsidRPr="004E71B8">
        <w:t>R1-17</w:t>
      </w:r>
      <w:r w:rsidRPr="004E71B8">
        <w:rPr>
          <w:rFonts w:hint="eastAsia"/>
        </w:rPr>
        <w:t>12865</w:t>
      </w:r>
      <w:r w:rsidRPr="004E71B8">
        <w:t>, “Discussion on HARQ timing design”, vivo</w:t>
      </w:r>
    </w:p>
    <w:p w:rsidR="004E71B8" w:rsidRPr="004E71B8" w:rsidRDefault="004E71B8" w:rsidP="008E626A">
      <w:pPr>
        <w:pStyle w:val="a0"/>
        <w:numPr>
          <w:ilvl w:val="0"/>
          <w:numId w:val="11"/>
        </w:numPr>
        <w:jc w:val="left"/>
      </w:pPr>
      <w:r w:rsidRPr="004E71B8">
        <w:t>R1-1712866, “Discussion on UE processing time”, vivo</w:t>
      </w:r>
    </w:p>
    <w:p w:rsidR="000B36A4" w:rsidRDefault="000B36A4" w:rsidP="000B36A4">
      <w:pPr>
        <w:pStyle w:val="1"/>
        <w:keepLines/>
        <w:numPr>
          <w:ilvl w:val="0"/>
          <w:numId w:val="0"/>
        </w:numPr>
        <w:pBdr>
          <w:top w:val="single" w:sz="12" w:space="3" w:color="auto"/>
        </w:pBdr>
        <w:overflowPunct w:val="0"/>
        <w:autoSpaceDE w:val="0"/>
        <w:autoSpaceDN w:val="0"/>
        <w:adjustRightInd w:val="0"/>
        <w:spacing w:before="240" w:after="180"/>
        <w:ind w:left="567" w:hanging="567"/>
        <w:textAlignment w:val="baseline"/>
        <w:rPr>
          <w:rFonts w:cs="Times New Roman"/>
          <w:b w:val="0"/>
          <w:bCs w:val="0"/>
          <w:kern w:val="0"/>
          <w:sz w:val="36"/>
          <w:szCs w:val="20"/>
          <w:lang w:val="fr-FR"/>
        </w:rPr>
      </w:pPr>
      <w:r>
        <w:rPr>
          <w:rFonts w:cs="Times New Roman"/>
          <w:b w:val="0"/>
          <w:bCs w:val="0"/>
          <w:kern w:val="0"/>
          <w:sz w:val="36"/>
          <w:szCs w:val="20"/>
          <w:lang w:val="fr-FR"/>
        </w:rPr>
        <w:t>Annex 1</w:t>
      </w:r>
    </w:p>
    <w:p w:rsidR="000B36A4" w:rsidRPr="000B36A4" w:rsidRDefault="000B36A4" w:rsidP="000B36A4">
      <w:pPr>
        <w:pStyle w:val="a5"/>
        <w:keepNext/>
        <w:jc w:val="center"/>
        <w:rPr>
          <w:rFonts w:ascii="Arial" w:hAnsi="Arial" w:cs="Arial"/>
          <w:b/>
        </w:rPr>
      </w:pPr>
      <w:bookmarkStart w:id="5" w:name="_Ref489979879"/>
      <w:r w:rsidRPr="000B36A4">
        <w:rPr>
          <w:rFonts w:ascii="Arial" w:hAnsi="Arial" w:cs="Arial"/>
          <w:b/>
        </w:rPr>
        <w:t>Table A-1. Candidate factors</w:t>
      </w:r>
      <w:r w:rsidRPr="000B36A4">
        <w:rPr>
          <w:rFonts w:ascii="Arial" w:hAnsi="Arial" w:cs="Arial"/>
          <w:b/>
          <w:noProof/>
        </w:rPr>
        <w:t xml:space="preserve"> for UE processing time (N1,N2)</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3703"/>
        <w:gridCol w:w="3935"/>
      </w:tblGrid>
      <w:tr w:rsidR="000B36A4" w:rsidTr="0012174F">
        <w:trPr>
          <w:trHeight w:val="189"/>
        </w:trPr>
        <w:tc>
          <w:tcPr>
            <w:tcW w:w="1471" w:type="dxa"/>
            <w:shd w:val="clear" w:color="auto" w:fill="4F81BD"/>
          </w:tcPr>
          <w:p w:rsidR="000B36A4" w:rsidRPr="00381A8B" w:rsidRDefault="000B36A4" w:rsidP="0012174F">
            <w:pPr>
              <w:rPr>
                <w:b/>
                <w:color w:val="FFFFFF"/>
                <w:sz w:val="18"/>
                <w:szCs w:val="18"/>
              </w:rPr>
            </w:pPr>
          </w:p>
        </w:tc>
        <w:tc>
          <w:tcPr>
            <w:tcW w:w="4034" w:type="dxa"/>
            <w:shd w:val="clear" w:color="auto" w:fill="4F81BD"/>
          </w:tcPr>
          <w:p w:rsidR="000B36A4" w:rsidRPr="00381A8B" w:rsidRDefault="000B36A4" w:rsidP="0012174F">
            <w:pPr>
              <w:rPr>
                <w:b/>
                <w:color w:val="FFFFFF"/>
                <w:sz w:val="18"/>
                <w:szCs w:val="18"/>
              </w:rPr>
            </w:pPr>
            <w:r w:rsidRPr="00381A8B">
              <w:rPr>
                <w:b/>
                <w:color w:val="FFFFFF"/>
                <w:sz w:val="18"/>
                <w:szCs w:val="18"/>
              </w:rPr>
              <w:t>N1</w:t>
            </w:r>
          </w:p>
        </w:tc>
        <w:tc>
          <w:tcPr>
            <w:tcW w:w="4323" w:type="dxa"/>
            <w:shd w:val="clear" w:color="auto" w:fill="4F81BD"/>
          </w:tcPr>
          <w:p w:rsidR="000B36A4" w:rsidRPr="00381A8B" w:rsidRDefault="000B36A4" w:rsidP="0012174F">
            <w:pPr>
              <w:rPr>
                <w:b/>
                <w:color w:val="FFFFFF"/>
                <w:sz w:val="18"/>
                <w:szCs w:val="18"/>
              </w:rPr>
            </w:pPr>
            <w:r w:rsidRPr="00381A8B">
              <w:rPr>
                <w:b/>
                <w:color w:val="FFFFFF"/>
                <w:sz w:val="18"/>
                <w:szCs w:val="18"/>
              </w:rPr>
              <w:t>N2</w:t>
            </w:r>
          </w:p>
        </w:tc>
      </w:tr>
      <w:tr w:rsidR="000B36A4" w:rsidTr="0012174F">
        <w:trPr>
          <w:trHeight w:val="2363"/>
        </w:trPr>
        <w:tc>
          <w:tcPr>
            <w:tcW w:w="1471" w:type="dxa"/>
            <w:shd w:val="clear" w:color="auto" w:fill="4F81BD"/>
          </w:tcPr>
          <w:p w:rsidR="000B36A4" w:rsidRPr="00381A8B" w:rsidRDefault="000B36A4" w:rsidP="0012174F">
            <w:pPr>
              <w:rPr>
                <w:b/>
                <w:color w:val="FFFFFF"/>
                <w:sz w:val="18"/>
                <w:szCs w:val="18"/>
              </w:rPr>
            </w:pPr>
            <w:r w:rsidRPr="00381A8B">
              <w:rPr>
                <w:b/>
                <w:color w:val="FFFFFF"/>
                <w:sz w:val="18"/>
                <w:szCs w:val="18"/>
              </w:rPr>
              <w:t>Nominal assumptions</w:t>
            </w:r>
          </w:p>
        </w:tc>
        <w:tc>
          <w:tcPr>
            <w:tcW w:w="4034" w:type="dxa"/>
            <w:shd w:val="clear" w:color="auto" w:fill="auto"/>
          </w:tcPr>
          <w:p w:rsidR="000B36A4" w:rsidRPr="00381A8B" w:rsidRDefault="000B36A4" w:rsidP="0012174F">
            <w:pPr>
              <w:rPr>
                <w:sz w:val="18"/>
                <w:szCs w:val="18"/>
              </w:rPr>
            </w:pPr>
            <w:r w:rsidRPr="00381A8B">
              <w:rPr>
                <w:sz w:val="18"/>
                <w:szCs w:val="18"/>
              </w:rPr>
              <w:t>Single carrier / Single BWP / Single TRP</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Full range of MCS and multi-layer support up to the 4-layer MIMO and 256-QAM</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Up to 3300 active subcarriers</w:t>
            </w:r>
            <w:r w:rsidRPr="00381A8B">
              <w:rPr>
                <w:rFonts w:ascii="Times New Roman" w:hAnsi="Times New Roman"/>
                <w:sz w:val="18"/>
                <w:szCs w:val="18"/>
                <w:vertAlign w:val="superscript"/>
              </w:rPr>
              <w:t>2</w:t>
            </w:r>
          </w:p>
          <w:p w:rsidR="000B36A4" w:rsidRPr="00381A8B" w:rsidRDefault="000B36A4" w:rsidP="0012174F">
            <w:pPr>
              <w:rPr>
                <w:sz w:val="18"/>
                <w:szCs w:val="18"/>
              </w:rPr>
            </w:pPr>
            <w:r w:rsidRPr="00381A8B">
              <w:rPr>
                <w:sz w:val="18"/>
                <w:szCs w:val="18"/>
              </w:rPr>
              <w:t>PDCCH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Same numerology / BWP as 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Single grant monitored for 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eastAsia="MS Mincho" w:hAnsi="Times New Roman" w:hint="eastAsia"/>
                <w:sz w:val="18"/>
                <w:szCs w:val="18"/>
                <w:lang w:eastAsia="ja-JP"/>
              </w:rPr>
              <w:t>44</w:t>
            </w:r>
            <w:r w:rsidRPr="00381A8B">
              <w:rPr>
                <w:rFonts w:ascii="Times New Roman" w:hAnsi="Times New Roman"/>
                <w:sz w:val="18"/>
                <w:szCs w:val="18"/>
              </w:rPr>
              <w:t xml:space="preserve"> blind decodes, single symbol</w:t>
            </w:r>
            <w:r w:rsidRPr="00381A8B">
              <w:rPr>
                <w:sz w:val="18"/>
                <w:szCs w:val="18"/>
              </w:rPr>
              <w:t xml:space="preserve"> CORESET</w:t>
            </w:r>
          </w:p>
          <w:p w:rsidR="000B36A4" w:rsidRPr="00381A8B" w:rsidRDefault="000B36A4" w:rsidP="0012174F">
            <w:pPr>
              <w:rPr>
                <w:sz w:val="18"/>
                <w:szCs w:val="18"/>
              </w:rPr>
            </w:pPr>
            <w:r w:rsidRPr="00381A8B">
              <w:rPr>
                <w:sz w:val="18"/>
                <w:szCs w:val="18"/>
              </w:rPr>
              <w:t>PDSCH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PDSCH does not precede PDCCH</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14-symbol slot-based scheduling</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Frequency-first RE-mapping, no time-interleaving of CBs across TB</w:t>
            </w:r>
          </w:p>
          <w:p w:rsidR="000B36A4" w:rsidRPr="00381A8B" w:rsidRDefault="000B36A4" w:rsidP="0012174F">
            <w:pPr>
              <w:rPr>
                <w:sz w:val="18"/>
                <w:szCs w:val="18"/>
              </w:rPr>
            </w:pPr>
            <w:r w:rsidRPr="00381A8B">
              <w:rPr>
                <w:sz w:val="18"/>
                <w:szCs w:val="18"/>
              </w:rPr>
              <w:t xml:space="preserve">PUCCH </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Short formats for HARQ-ACK</w:t>
            </w:r>
          </w:p>
        </w:tc>
        <w:tc>
          <w:tcPr>
            <w:tcW w:w="4323" w:type="dxa"/>
            <w:shd w:val="clear" w:color="auto" w:fill="auto"/>
          </w:tcPr>
          <w:p w:rsidR="000B36A4" w:rsidRPr="00381A8B" w:rsidRDefault="000B36A4" w:rsidP="0012174F">
            <w:pPr>
              <w:rPr>
                <w:sz w:val="18"/>
                <w:szCs w:val="18"/>
              </w:rPr>
            </w:pPr>
            <w:r w:rsidRPr="00381A8B">
              <w:rPr>
                <w:sz w:val="18"/>
                <w:szCs w:val="18"/>
              </w:rPr>
              <w:t>Single carrier / Single BWP / Single TRP</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Full range of MCS and multi-layer support up to the 2-layer MIMO and 64-QAM</w:t>
            </w:r>
          </w:p>
          <w:p w:rsidR="000B36A4" w:rsidRPr="00381A8B" w:rsidRDefault="000B36A4" w:rsidP="000B36A4">
            <w:pPr>
              <w:pStyle w:val="af"/>
              <w:widowControl/>
              <w:numPr>
                <w:ilvl w:val="0"/>
                <w:numId w:val="28"/>
              </w:numPr>
              <w:spacing w:before="120"/>
              <w:ind w:firstLineChars="0"/>
              <w:jc w:val="left"/>
              <w:rPr>
                <w:rFonts w:ascii="Times New Roman" w:hAnsi="Times New Roman"/>
                <w:sz w:val="18"/>
                <w:szCs w:val="18"/>
              </w:rPr>
            </w:pPr>
            <w:r w:rsidRPr="00381A8B">
              <w:rPr>
                <w:rFonts w:ascii="Times New Roman" w:hAnsi="Times New Roman"/>
                <w:sz w:val="18"/>
                <w:szCs w:val="18"/>
              </w:rPr>
              <w:t>Up to 3300 active subcarriers</w:t>
            </w:r>
          </w:p>
          <w:p w:rsidR="000B36A4" w:rsidRPr="00381A8B" w:rsidRDefault="000B36A4" w:rsidP="0012174F">
            <w:pPr>
              <w:rPr>
                <w:sz w:val="18"/>
                <w:szCs w:val="18"/>
              </w:rPr>
            </w:pPr>
            <w:r w:rsidRPr="00381A8B">
              <w:rPr>
                <w:sz w:val="18"/>
                <w:szCs w:val="18"/>
              </w:rPr>
              <w:t>PDCCH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Same numerology / BWP as 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Single grant monitored for 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rFonts w:eastAsia="MS Mincho" w:hint="eastAsia"/>
                <w:sz w:val="18"/>
                <w:szCs w:val="18"/>
                <w:lang w:eastAsia="ja-JP"/>
              </w:rPr>
              <w:t>44</w:t>
            </w:r>
            <w:r w:rsidRPr="00381A8B">
              <w:rPr>
                <w:sz w:val="18"/>
                <w:szCs w:val="18"/>
              </w:rPr>
              <w:t xml:space="preserve"> blind decoding, single symbol CORESET</w:t>
            </w:r>
          </w:p>
          <w:p w:rsidR="000B36A4" w:rsidRPr="00381A8B" w:rsidRDefault="000B36A4" w:rsidP="0012174F">
            <w:pPr>
              <w:rPr>
                <w:sz w:val="18"/>
                <w:szCs w:val="18"/>
              </w:rPr>
            </w:pPr>
            <w:r w:rsidRPr="00381A8B">
              <w:rPr>
                <w:sz w:val="18"/>
                <w:szCs w:val="18"/>
              </w:rPr>
              <w:t>PUSCH</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14-symbol slot-based scheduling</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 xml:space="preserve">No time-interleaving of CBs across TB </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DFTsOFDM or OFDM</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Front loaded DMRS for low latency</w:t>
            </w:r>
            <w:r w:rsidRPr="00381A8B">
              <w:rPr>
                <w:sz w:val="18"/>
                <w:szCs w:val="18"/>
                <w:vertAlign w:val="superscript"/>
              </w:rPr>
              <w:t>4</w:t>
            </w:r>
          </w:p>
          <w:p w:rsidR="000B36A4" w:rsidRPr="00381A8B" w:rsidRDefault="000B36A4" w:rsidP="000B36A4">
            <w:pPr>
              <w:numPr>
                <w:ilvl w:val="0"/>
                <w:numId w:val="28"/>
              </w:numPr>
              <w:overflowPunct w:val="0"/>
              <w:autoSpaceDE w:val="0"/>
              <w:autoSpaceDN w:val="0"/>
              <w:adjustRightInd w:val="0"/>
              <w:spacing w:before="120" w:after="180"/>
              <w:jc w:val="both"/>
              <w:textAlignment w:val="baseline"/>
              <w:rPr>
                <w:sz w:val="18"/>
                <w:szCs w:val="18"/>
              </w:rPr>
            </w:pPr>
            <w:r w:rsidRPr="00381A8B">
              <w:rPr>
                <w:sz w:val="18"/>
                <w:szCs w:val="18"/>
              </w:rPr>
              <w:t>No UCI multiplexing</w:t>
            </w:r>
          </w:p>
        </w:tc>
      </w:tr>
      <w:tr w:rsidR="000B36A4" w:rsidTr="0012174F">
        <w:trPr>
          <w:trHeight w:val="694"/>
        </w:trPr>
        <w:tc>
          <w:tcPr>
            <w:tcW w:w="1471" w:type="dxa"/>
            <w:shd w:val="clear" w:color="auto" w:fill="4F81BD"/>
          </w:tcPr>
          <w:p w:rsidR="000B36A4" w:rsidRPr="00381A8B" w:rsidRDefault="000B36A4" w:rsidP="0012174F">
            <w:pPr>
              <w:rPr>
                <w:b/>
                <w:color w:val="FFFFFF"/>
                <w:sz w:val="18"/>
                <w:szCs w:val="18"/>
              </w:rPr>
            </w:pPr>
            <w:r w:rsidRPr="00381A8B">
              <w:rPr>
                <w:b/>
                <w:color w:val="FFFFFF"/>
                <w:sz w:val="18"/>
                <w:szCs w:val="18"/>
              </w:rPr>
              <w:t xml:space="preserve">Candidate factors </w:t>
            </w:r>
          </w:p>
        </w:tc>
        <w:tc>
          <w:tcPr>
            <w:tcW w:w="4034" w:type="dxa"/>
            <w:shd w:val="clear" w:color="auto" w:fill="auto"/>
          </w:tcPr>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SCS</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DMRS configuration</w:t>
            </w:r>
            <w:r w:rsidRPr="00381A8B">
              <w:rPr>
                <w:sz w:val="18"/>
                <w:szCs w:val="18"/>
                <w:vertAlign w:val="superscript"/>
              </w:rPr>
              <w:t>3</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[Percentage of peak rate]</w:t>
            </w:r>
          </w:p>
          <w:p w:rsidR="000B36A4" w:rsidRPr="00381A8B" w:rsidRDefault="000B36A4" w:rsidP="000B36A4">
            <w:pPr>
              <w:pStyle w:val="af"/>
              <w:widowControl/>
              <w:numPr>
                <w:ilvl w:val="0"/>
                <w:numId w:val="30"/>
              </w:numPr>
              <w:spacing w:before="120"/>
              <w:ind w:firstLineChars="0"/>
              <w:rPr>
                <w:rFonts w:ascii="Times New Roman" w:hAnsi="Times New Roman"/>
                <w:sz w:val="18"/>
                <w:szCs w:val="18"/>
              </w:rPr>
            </w:pPr>
            <w:r w:rsidRPr="00381A8B">
              <w:rPr>
                <w:rFonts w:ascii="Times New Roman" w:hAnsi="Times New Roman"/>
                <w:sz w:val="18"/>
                <w:szCs w:val="18"/>
              </w:rPr>
              <w:t>[RE-mapping</w:t>
            </w:r>
            <w:r w:rsidRPr="00381A8B">
              <w:rPr>
                <w:rFonts w:ascii="Times New Roman" w:hAnsi="Times New Roman"/>
                <w:sz w:val="18"/>
                <w:szCs w:val="18"/>
                <w:vertAlign w:val="superscript"/>
              </w:rPr>
              <w:t>1</w:t>
            </w:r>
            <w:r w:rsidRPr="00381A8B">
              <w:rPr>
                <w:rFonts w:ascii="Times New Roman" w:hAnsi="Times New Roman"/>
                <w:sz w:val="18"/>
                <w:szCs w:val="18"/>
              </w:rPr>
              <w:t>]</w:t>
            </w:r>
          </w:p>
        </w:tc>
        <w:tc>
          <w:tcPr>
            <w:tcW w:w="4323" w:type="dxa"/>
            <w:shd w:val="clear" w:color="auto" w:fill="auto"/>
          </w:tcPr>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SCS</w:t>
            </w:r>
          </w:p>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RE-mapping (depending on specification)</w:t>
            </w:r>
            <w:r w:rsidRPr="00381A8B">
              <w:rPr>
                <w:rFonts w:ascii="Times New Roman" w:hAnsi="Times New Roman"/>
                <w:sz w:val="18"/>
                <w:szCs w:val="18"/>
                <w:vertAlign w:val="superscript"/>
              </w:rPr>
              <w:t>1</w:t>
            </w:r>
            <w:r w:rsidRPr="00381A8B">
              <w:rPr>
                <w:rFonts w:ascii="Times New Roman" w:hAnsi="Times New Roman"/>
                <w:sz w:val="18"/>
                <w:szCs w:val="18"/>
              </w:rPr>
              <w:t xml:space="preserve"> </w:t>
            </w:r>
          </w:p>
          <w:p w:rsidR="000B36A4" w:rsidRPr="00381A8B" w:rsidRDefault="000B36A4" w:rsidP="000B36A4">
            <w:pPr>
              <w:pStyle w:val="af"/>
              <w:widowControl/>
              <w:numPr>
                <w:ilvl w:val="0"/>
                <w:numId w:val="29"/>
              </w:numPr>
              <w:spacing w:before="120"/>
              <w:ind w:firstLineChars="0"/>
              <w:rPr>
                <w:rFonts w:ascii="Times New Roman" w:hAnsi="Times New Roman"/>
                <w:sz w:val="18"/>
                <w:szCs w:val="18"/>
              </w:rPr>
            </w:pPr>
            <w:r w:rsidRPr="00381A8B">
              <w:rPr>
                <w:rFonts w:ascii="Times New Roman" w:hAnsi="Times New Roman"/>
                <w:sz w:val="18"/>
                <w:szCs w:val="18"/>
              </w:rPr>
              <w:t>[Percentage of peak rate]</w:t>
            </w:r>
          </w:p>
          <w:p w:rsidR="000B36A4" w:rsidRPr="00381A8B" w:rsidRDefault="000B36A4" w:rsidP="0012174F">
            <w:pPr>
              <w:pStyle w:val="af"/>
              <w:spacing w:before="120"/>
              <w:ind w:left="288" w:firstLine="360"/>
              <w:rPr>
                <w:rFonts w:ascii="Times New Roman" w:hAnsi="Times New Roman"/>
                <w:sz w:val="18"/>
                <w:szCs w:val="18"/>
              </w:rPr>
            </w:pPr>
          </w:p>
        </w:tc>
      </w:tr>
    </w:tbl>
    <w:p w:rsidR="000B36A4" w:rsidRDefault="000B36A4" w:rsidP="000B36A4">
      <w:pPr>
        <w:ind w:left="450"/>
      </w:pPr>
      <w:r w:rsidRPr="00381A8B">
        <w:rPr>
          <w:rFonts w:eastAsia="MS Mincho" w:hint="eastAsia"/>
          <w:vertAlign w:val="superscript"/>
          <w:lang w:eastAsia="ja-JP"/>
        </w:rPr>
        <w:tab/>
      </w: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81A8B">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81A8B">
        <w:rPr>
          <w:rFonts w:eastAsia="MS Mincho"/>
          <w:lang w:eastAsia="ja-JP"/>
        </w:rPr>
        <w:t>O</w:t>
      </w:r>
      <w:r w:rsidRPr="00381A8B">
        <w:rPr>
          <w:rFonts w:eastAsia="MS Mincho" w:hint="eastAsia"/>
          <w:lang w:eastAsia="ja-JP"/>
        </w:rPr>
        <w:t xml:space="preserve">ne </w:t>
      </w:r>
      <w:r>
        <w:t>DMRS is TDM with PUSCH.</w:t>
      </w:r>
    </w:p>
    <w:p w:rsidR="000B36A4" w:rsidRPr="000B36A4" w:rsidRDefault="000B36A4" w:rsidP="000B36A4">
      <w:pPr>
        <w:pStyle w:val="a0"/>
        <w:rPr>
          <w:rFonts w:eastAsiaTheme="minorEastAsia"/>
          <w:lang w:val="fr-FR" w:eastAsia="zh-CN"/>
        </w:rPr>
      </w:pPr>
    </w:p>
    <w:p w:rsidR="00B50E82" w:rsidRPr="000B36A4" w:rsidRDefault="00B50E82" w:rsidP="001F1D34">
      <w:pPr>
        <w:rPr>
          <w:rFonts w:eastAsia="宋体"/>
          <w:lang w:eastAsia="zh-CN"/>
        </w:rPr>
      </w:pPr>
    </w:p>
    <w:sectPr w:rsidR="00B50E82" w:rsidRPr="000B36A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54F" w:rsidRDefault="0095654F">
      <w:r>
        <w:separator/>
      </w:r>
    </w:p>
  </w:endnote>
  <w:endnote w:type="continuationSeparator" w:id="0">
    <w:p w:rsidR="0095654F" w:rsidRDefault="0095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54F" w:rsidRDefault="0095654F">
      <w:r>
        <w:separator/>
      </w:r>
    </w:p>
  </w:footnote>
  <w:footnote w:type="continuationSeparator" w:id="0">
    <w:p w:rsidR="0095654F" w:rsidRDefault="00956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pt;height:9.5pt" o:bullet="t">
        <v:imagedata r:id="rId1" o:title="BD15135_"/>
      </v:shape>
    </w:pict>
  </w:numPicBullet>
  <w:abstractNum w:abstractNumId="0">
    <w:nsid w:val="0C607DE8"/>
    <w:multiLevelType w:val="hybridMultilevel"/>
    <w:tmpl w:val="DCA069CC"/>
    <w:lvl w:ilvl="0" w:tplc="E2B4D0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3A57BE0"/>
    <w:multiLevelType w:val="hybridMultilevel"/>
    <w:tmpl w:val="44A831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6E1695"/>
    <w:multiLevelType w:val="hybridMultilevel"/>
    <w:tmpl w:val="FF9A5B1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13">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6">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8">
    <w:nsid w:val="58516E07"/>
    <w:multiLevelType w:val="hybridMultilevel"/>
    <w:tmpl w:val="6E506C8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0">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start w:val="1"/>
      <w:numFmt w:val="bullet"/>
      <w:lvlText w:val="•"/>
      <w:lvlJc w:val="left"/>
      <w:pPr>
        <w:tabs>
          <w:tab w:val="num" w:pos="2160"/>
        </w:tabs>
        <w:ind w:left="2160" w:hanging="360"/>
      </w:pPr>
      <w:rPr>
        <w:rFonts w:ascii="Arial" w:hAnsi="Arial" w:hint="default"/>
      </w:rPr>
    </w:lvl>
    <w:lvl w:ilvl="3" w:tplc="2BA0F58C">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2">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17"/>
  </w:num>
  <w:num w:numId="3">
    <w:abstractNumId w:val="26"/>
  </w:num>
  <w:num w:numId="4">
    <w:abstractNumId w:val="14"/>
  </w:num>
  <w:num w:numId="5">
    <w:abstractNumId w:val="22"/>
  </w:num>
  <w:num w:numId="6">
    <w:abstractNumId w:val="9"/>
  </w:num>
  <w:num w:numId="7">
    <w:abstractNumId w:val="29"/>
  </w:num>
  <w:num w:numId="8">
    <w:abstractNumId w:val="5"/>
  </w:num>
  <w:num w:numId="9">
    <w:abstractNumId w:val="28"/>
  </w:num>
  <w:num w:numId="10">
    <w:abstractNumId w:val="28"/>
  </w:num>
  <w:num w:numId="11">
    <w:abstractNumId w:val="1"/>
  </w:num>
  <w:num w:numId="12">
    <w:abstractNumId w:val="19"/>
  </w:num>
  <w:num w:numId="13">
    <w:abstractNumId w:val="20"/>
  </w:num>
  <w:num w:numId="14">
    <w:abstractNumId w:val="28"/>
  </w:num>
  <w:num w:numId="15">
    <w:abstractNumId w:val="28"/>
  </w:num>
  <w:num w:numId="16">
    <w:abstractNumId w:val="7"/>
  </w:num>
  <w:num w:numId="17">
    <w:abstractNumId w:val="12"/>
  </w:num>
  <w:num w:numId="18">
    <w:abstractNumId w:val="4"/>
  </w:num>
  <w:num w:numId="19">
    <w:abstractNumId w:val="13"/>
  </w:num>
  <w:num w:numId="20">
    <w:abstractNumId w:val="28"/>
  </w:num>
  <w:num w:numId="21">
    <w:abstractNumId w:val="28"/>
  </w:num>
  <w:num w:numId="22">
    <w:abstractNumId w:val="28"/>
  </w:num>
  <w:num w:numId="23">
    <w:abstractNumId w:val="2"/>
  </w:num>
  <w:num w:numId="24">
    <w:abstractNumId w:val="27"/>
  </w:num>
  <w:num w:numId="25">
    <w:abstractNumId w:val="3"/>
  </w:num>
  <w:num w:numId="26">
    <w:abstractNumId w:val="28"/>
  </w:num>
  <w:num w:numId="27">
    <w:abstractNumId w:val="28"/>
  </w:num>
  <w:num w:numId="28">
    <w:abstractNumId w:val="24"/>
  </w:num>
  <w:num w:numId="29">
    <w:abstractNumId w:val="25"/>
  </w:num>
  <w:num w:numId="30">
    <w:abstractNumId w:val="23"/>
  </w:num>
  <w:num w:numId="31">
    <w:abstractNumId w:val="16"/>
  </w:num>
  <w:num w:numId="32">
    <w:abstractNumId w:val="28"/>
  </w:num>
  <w:num w:numId="33">
    <w:abstractNumId w:val="11"/>
  </w:num>
  <w:num w:numId="34">
    <w:abstractNumId w:val="6"/>
  </w:num>
  <w:num w:numId="35">
    <w:abstractNumId w:val="8"/>
  </w:num>
  <w:num w:numId="36">
    <w:abstractNumId w:val="18"/>
  </w:num>
  <w:num w:numId="37">
    <w:abstractNumId w:val="10"/>
  </w:num>
  <w:num w:numId="38">
    <w:abstractNumId w:val="15"/>
  </w:num>
  <w:num w:numId="39">
    <w:abstractNumId w:val="21"/>
  </w:num>
  <w:num w:numId="4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0DE0"/>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AC5"/>
    <w:rsid w:val="003A5013"/>
    <w:rsid w:val="003A5188"/>
    <w:rsid w:val="003A571D"/>
    <w:rsid w:val="003A5AF4"/>
    <w:rsid w:val="003A5BC1"/>
    <w:rsid w:val="003A64D1"/>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6072"/>
    <w:rsid w:val="004E6648"/>
    <w:rsid w:val="004E66E5"/>
    <w:rsid w:val="004E6C49"/>
    <w:rsid w:val="004E71B8"/>
    <w:rsid w:val="004E7364"/>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1A1"/>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28F0"/>
    <w:rsid w:val="008F3218"/>
    <w:rsid w:val="008F397D"/>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54F"/>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0DF4"/>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BACD42-6BE7-4005-93E2-11862903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link w:val="af"/>
    <w:uiPriority w:val="34"/>
    <w:qFormat/>
    <w:rsid w:val="000B36A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673CD-8816-4694-AA98-30A3722C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1594</Words>
  <Characters>9091</Characters>
  <Application>Microsoft Office Word</Application>
  <DocSecurity>0</DocSecurity>
  <Lines>75</Lines>
  <Paragraphs>21</Paragraphs>
  <ScaleCrop>false</ScaleCrop>
  <Company>Vivo</Company>
  <LinksUpToDate>false</LinksUpToDate>
  <CharactersWithSpaces>10664</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17</cp:revision>
  <cp:lastPrinted>2011-08-03T09:36:00Z</cp:lastPrinted>
  <dcterms:created xsi:type="dcterms:W3CDTF">2017-09-09T06:35:00Z</dcterms:created>
  <dcterms:modified xsi:type="dcterms:W3CDTF">2017-09-11T14:33:00Z</dcterms:modified>
</cp:coreProperties>
</file>